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07F8C" w14:textId="7F92949B" w:rsidR="00A47CA0" w:rsidRPr="00B266B0" w:rsidRDefault="00A47CA0" w:rsidP="00A47CA0">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638D4">
        <w:rPr>
          <w:bCs/>
          <w:noProof w:val="0"/>
          <w:sz w:val="24"/>
          <w:szCs w:val="24"/>
        </w:rPr>
        <w:t>04293</w:t>
      </w:r>
    </w:p>
    <w:p w14:paraId="231362B2" w14:textId="77C22854" w:rsidR="00CD4C7B" w:rsidRPr="00D32FF8" w:rsidRDefault="00A47CA0" w:rsidP="00CD4C7B">
      <w:pPr>
        <w:pStyle w:val="Header"/>
        <w:tabs>
          <w:tab w:val="right" w:pos="9639"/>
        </w:tabs>
        <w:rPr>
          <w:bCs/>
          <w:noProof w:val="0"/>
          <w:sz w:val="24"/>
          <w:szCs w:val="24"/>
          <w:lang w:val="en-US"/>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64B41" w:rsidRPr="00D32FF8">
        <w:rPr>
          <w:rFonts w:eastAsia="SimSun"/>
          <w:noProof w:val="0"/>
          <w:sz w:val="24"/>
          <w:szCs w:val="24"/>
          <w:lang w:val="en-US" w:eastAsia="zh-CN"/>
        </w:rPr>
        <w:tab/>
      </w:r>
    </w:p>
    <w:p w14:paraId="39BE00F6" w14:textId="77777777" w:rsidR="00CD4C7B" w:rsidRPr="00D32FF8" w:rsidRDefault="00CD4C7B" w:rsidP="00CD4C7B">
      <w:pPr>
        <w:pStyle w:val="Header"/>
        <w:rPr>
          <w:bCs/>
          <w:noProof w:val="0"/>
          <w:sz w:val="24"/>
          <w:lang w:val="en-US"/>
        </w:rPr>
      </w:pPr>
    </w:p>
    <w:p w14:paraId="49379CFB" w14:textId="77777777" w:rsidR="00CD4C7B" w:rsidRPr="00D32FF8" w:rsidRDefault="00CD4C7B" w:rsidP="00CD4C7B">
      <w:pPr>
        <w:pStyle w:val="Header"/>
        <w:rPr>
          <w:bCs/>
          <w:noProof w:val="0"/>
          <w:sz w:val="24"/>
          <w:lang w:val="en-US"/>
        </w:rPr>
      </w:pPr>
    </w:p>
    <w:p w14:paraId="758E2B30" w14:textId="355C069B" w:rsidR="00CD4C7B" w:rsidRPr="00D32FF8" w:rsidRDefault="00CD4C7B" w:rsidP="00CD4C7B">
      <w:pPr>
        <w:pStyle w:val="CRCoverPage"/>
        <w:tabs>
          <w:tab w:val="left" w:pos="1985"/>
        </w:tabs>
        <w:rPr>
          <w:rFonts w:cs="Arial"/>
          <w:b/>
          <w:bCs/>
          <w:sz w:val="24"/>
          <w:lang w:val="en-US" w:eastAsia="ja-JP"/>
        </w:rPr>
      </w:pPr>
      <w:r w:rsidRPr="00D32FF8">
        <w:rPr>
          <w:rFonts w:cs="Arial"/>
          <w:b/>
          <w:bCs/>
          <w:sz w:val="24"/>
          <w:lang w:val="en-US"/>
        </w:rPr>
        <w:t>Agenda item:</w:t>
      </w:r>
      <w:r w:rsidRPr="00D32FF8">
        <w:rPr>
          <w:rFonts w:cs="Arial"/>
          <w:b/>
          <w:bCs/>
          <w:sz w:val="24"/>
          <w:lang w:val="en-US"/>
        </w:rPr>
        <w:tab/>
      </w:r>
      <w:r w:rsidR="00D26E9A">
        <w:rPr>
          <w:rFonts w:cs="Arial"/>
          <w:b/>
          <w:bCs/>
          <w:sz w:val="24"/>
          <w:lang w:val="en-US" w:eastAsia="ja-JP"/>
        </w:rPr>
        <w:t>11.9.2.2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A9344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64A6">
        <w:rPr>
          <w:rFonts w:ascii="Arial" w:hAnsi="Arial" w:cs="Arial"/>
          <w:b/>
          <w:bCs/>
          <w:sz w:val="24"/>
        </w:rPr>
        <w:t>Handover Execution Enhancements for Simultan</w:t>
      </w:r>
      <w:r w:rsidR="00B9578F">
        <w:rPr>
          <w:rFonts w:ascii="Arial" w:hAnsi="Arial" w:cs="Arial"/>
          <w:b/>
          <w:bCs/>
          <w:sz w:val="24"/>
        </w:rPr>
        <w:t>e</w:t>
      </w:r>
      <w:r w:rsidR="00B764A6">
        <w:rPr>
          <w:rFonts w:ascii="Arial" w:hAnsi="Arial" w:cs="Arial"/>
          <w:b/>
          <w:bCs/>
          <w:sz w:val="24"/>
        </w:rPr>
        <w:t>ous</w:t>
      </w:r>
      <w:r w:rsidR="00B9578F">
        <w:rPr>
          <w:rFonts w:ascii="Arial" w:hAnsi="Arial" w:cs="Arial"/>
          <w:b/>
          <w:bCs/>
          <w:sz w:val="24"/>
        </w:rPr>
        <w:t>ly</w:t>
      </w:r>
      <w:r w:rsidR="00B764A6">
        <w:rPr>
          <w:rFonts w:ascii="Arial" w:hAnsi="Arial" w:cs="Arial"/>
          <w:b/>
          <w:bCs/>
          <w:sz w:val="24"/>
        </w:rPr>
        <w:t xml:space="preserve"> </w:t>
      </w:r>
      <w:r w:rsidR="00B9578F">
        <w:rPr>
          <w:rFonts w:ascii="Arial" w:hAnsi="Arial" w:cs="Arial"/>
          <w:b/>
          <w:bCs/>
          <w:sz w:val="24"/>
        </w:rPr>
        <w:t>Connected UE</w:t>
      </w:r>
      <w:r w:rsidR="009C4E39">
        <w:rPr>
          <w:rFonts w:ascii="Arial" w:hAnsi="Arial" w:cs="Arial"/>
          <w:b/>
          <w:bCs/>
          <w:sz w:val="24"/>
        </w:rPr>
        <w:t>s</w:t>
      </w:r>
    </w:p>
    <w:p w14:paraId="3AC3A0B1" w14:textId="1E6AA4C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B47E1" w:rsidRPr="008B47E1">
        <w:rPr>
          <w:rFonts w:ascii="Arial" w:hAnsi="Arial" w:cs="Arial"/>
          <w:b/>
          <w:bCs/>
          <w:sz w:val="24"/>
        </w:rPr>
        <w:t>NR_Mob_enh-Core</w:t>
      </w:r>
      <w:r w:rsidR="00313A0C" w:rsidRPr="00112F1A">
        <w:rPr>
          <w:rFonts w:ascii="Arial" w:hAnsi="Arial" w:cs="Arial"/>
          <w:b/>
          <w:bCs/>
          <w:sz w:val="24"/>
        </w:rPr>
        <w:t xml:space="preserve"> </w:t>
      </w:r>
      <w:r w:rsidR="00313A0C">
        <w:rPr>
          <w:rFonts w:ascii="Arial" w:hAnsi="Arial" w:cs="Arial"/>
          <w:b/>
          <w:bCs/>
          <w:sz w:val="24"/>
        </w:rPr>
        <w:t>- Release 1</w:t>
      </w:r>
      <w:r w:rsidR="008B47E1">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6908B9A" w14:textId="18AD6C80" w:rsidR="002B5E75" w:rsidRDefault="008B306A" w:rsidP="002B5E75">
      <w:pPr>
        <w:pStyle w:val="Doc-text2"/>
        <w:ind w:left="0" w:firstLine="0"/>
        <w:rPr>
          <w:rFonts w:ascii="Times New Roman" w:hAnsi="Times New Roman" w:cs="Times New Roman"/>
        </w:rPr>
      </w:pPr>
      <w:r>
        <w:rPr>
          <w:rFonts w:ascii="Times New Roman" w:hAnsi="Times New Roman" w:cs="Times New Roman"/>
        </w:rPr>
        <w:t xml:space="preserve">It has been agreed in RAN2 #105 to study DC-based and non-DC based solutions for reducing the service interruption time to 0 ms </w:t>
      </w:r>
      <w:r w:rsidR="00776FAA">
        <w:rPr>
          <w:rFonts w:ascii="Times New Roman" w:hAnsi="Times New Roman" w:cs="Times New Roman"/>
        </w:rPr>
        <w:t>during the handover in</w:t>
      </w:r>
      <w:r>
        <w:rPr>
          <w:rFonts w:ascii="Times New Roman" w:hAnsi="Times New Roman" w:cs="Times New Roman"/>
        </w:rPr>
        <w:t xml:space="preserve"> NR</w:t>
      </w:r>
      <w:r w:rsidR="002B5E75">
        <w:rPr>
          <w:rFonts w:ascii="Times New Roman" w:hAnsi="Times New Roman" w:cs="Times New Roman"/>
        </w:rPr>
        <w:t xml:space="preserve"> </w:t>
      </w:r>
      <w:r w:rsidR="002B5E75">
        <w:rPr>
          <w:rFonts w:ascii="Times New Roman" w:hAnsi="Times New Roman" w:cs="Times New Roman"/>
        </w:rPr>
        <w:fldChar w:fldCharType="begin"/>
      </w:r>
      <w:r w:rsidR="002B5E75">
        <w:rPr>
          <w:rFonts w:ascii="Times New Roman" w:hAnsi="Times New Roman" w:cs="Times New Roman"/>
        </w:rPr>
        <w:instrText xml:space="preserve"> REF _Ref3366693 \r \h </w:instrText>
      </w:r>
      <w:r w:rsidR="002B5E75">
        <w:rPr>
          <w:rFonts w:ascii="Times New Roman" w:hAnsi="Times New Roman" w:cs="Times New Roman"/>
        </w:rPr>
      </w:r>
      <w:r w:rsidR="002B5E75">
        <w:rPr>
          <w:rFonts w:ascii="Times New Roman" w:hAnsi="Times New Roman" w:cs="Times New Roman"/>
        </w:rPr>
        <w:fldChar w:fldCharType="separate"/>
      </w:r>
      <w:r w:rsidR="002B5E75">
        <w:rPr>
          <w:rFonts w:ascii="Times New Roman" w:hAnsi="Times New Roman" w:cs="Times New Roman"/>
        </w:rPr>
        <w:t>[1]</w:t>
      </w:r>
      <w:r w:rsidR="002B5E75">
        <w:rPr>
          <w:rFonts w:ascii="Times New Roman" w:hAnsi="Times New Roman" w:cs="Times New Roman"/>
        </w:rPr>
        <w:fldChar w:fldCharType="end"/>
      </w:r>
      <w:r>
        <w:rPr>
          <w:rFonts w:ascii="Times New Roman" w:hAnsi="Times New Roman" w:cs="Times New Roman"/>
        </w:rPr>
        <w:t>. Both solu</w:t>
      </w:r>
      <w:r w:rsidR="002B5E75">
        <w:rPr>
          <w:rFonts w:ascii="Times New Roman" w:hAnsi="Times New Roman" w:cs="Times New Roman"/>
        </w:rPr>
        <w:t>tions require that the UE is simultaneously</w:t>
      </w:r>
      <w:r w:rsidR="008E272F">
        <w:rPr>
          <w:rFonts w:ascii="Times New Roman" w:hAnsi="Times New Roman" w:cs="Times New Roman"/>
        </w:rPr>
        <w:t xml:space="preserve"> connected</w:t>
      </w:r>
      <w:r w:rsidR="002B5E75">
        <w:rPr>
          <w:rFonts w:ascii="Times New Roman" w:hAnsi="Times New Roman" w:cs="Times New Roman"/>
        </w:rPr>
        <w:t xml:space="preserve"> to </w:t>
      </w:r>
      <w:r w:rsidR="007A337C">
        <w:rPr>
          <w:rFonts w:ascii="Times New Roman" w:hAnsi="Times New Roman" w:cs="Times New Roman"/>
        </w:rPr>
        <w:t xml:space="preserve">source and target cells during handover. </w:t>
      </w:r>
      <w:r w:rsidR="003960B3">
        <w:rPr>
          <w:rFonts w:ascii="Times New Roman" w:hAnsi="Times New Roman" w:cs="Times New Roman"/>
        </w:rPr>
        <w:t xml:space="preserve"> </w:t>
      </w:r>
    </w:p>
    <w:p w14:paraId="7F628E1C" w14:textId="77777777" w:rsidR="002B5E75" w:rsidRDefault="002B5E75" w:rsidP="002B5E75">
      <w:pPr>
        <w:pStyle w:val="Doc-text2"/>
        <w:ind w:left="0" w:firstLine="0"/>
        <w:rPr>
          <w:rFonts w:ascii="Times New Roman" w:hAnsi="Times New Roman" w:cs="Times New Roman"/>
        </w:rPr>
      </w:pPr>
    </w:p>
    <w:p w14:paraId="2584F385" w14:textId="604797B2" w:rsidR="003960B3" w:rsidRPr="00052E9F" w:rsidRDefault="00CF7B16" w:rsidP="002B5E75">
      <w:pPr>
        <w:pStyle w:val="Doc-text2"/>
        <w:ind w:left="0" w:firstLine="0"/>
        <w:rPr>
          <w:rFonts w:ascii="Times New Roman" w:hAnsi="Times New Roman" w:cs="Times New Roman"/>
        </w:rPr>
      </w:pPr>
      <w:r>
        <w:rPr>
          <w:rFonts w:ascii="Times New Roman" w:hAnsi="Times New Roman" w:cs="Times New Roman"/>
        </w:rPr>
        <w:t xml:space="preserve">In this paper, we discuss some enhancements to the random access </w:t>
      </w:r>
      <w:r w:rsidR="006865C2">
        <w:rPr>
          <w:rFonts w:ascii="Times New Roman" w:hAnsi="Times New Roman" w:cs="Times New Roman"/>
        </w:rPr>
        <w:t xml:space="preserve">procedure </w:t>
      </w:r>
      <w:r>
        <w:rPr>
          <w:rFonts w:ascii="Times New Roman" w:hAnsi="Times New Roman" w:cs="Times New Roman"/>
        </w:rPr>
        <w:t>at the target cell by leveraging t</w:t>
      </w:r>
      <w:r w:rsidR="007A337C">
        <w:rPr>
          <w:rFonts w:ascii="Times New Roman" w:hAnsi="Times New Roman" w:cs="Times New Roman"/>
        </w:rPr>
        <w:t>he UE capability of simultaneous</w:t>
      </w:r>
      <w:r w:rsidR="002B5E75">
        <w:rPr>
          <w:rFonts w:ascii="Times New Roman" w:hAnsi="Times New Roman" w:cs="Times New Roman"/>
        </w:rPr>
        <w:t>ly</w:t>
      </w:r>
      <w:r w:rsidR="007A337C">
        <w:rPr>
          <w:rFonts w:ascii="Times New Roman" w:hAnsi="Times New Roman" w:cs="Times New Roman"/>
        </w:rPr>
        <w:t xml:space="preserve"> </w:t>
      </w:r>
      <w:r w:rsidR="002B5E75">
        <w:rPr>
          <w:rFonts w:ascii="Times New Roman" w:hAnsi="Times New Roman" w:cs="Times New Roman"/>
        </w:rPr>
        <w:t>receiving</w:t>
      </w:r>
      <w:r w:rsidR="007A337C">
        <w:rPr>
          <w:rFonts w:ascii="Times New Roman" w:hAnsi="Times New Roman" w:cs="Times New Roman"/>
        </w:rPr>
        <w:t xml:space="preserve"> downlink from source and target</w:t>
      </w:r>
      <w:r>
        <w:rPr>
          <w:rFonts w:ascii="Times New Roman" w:hAnsi="Times New Roman" w:cs="Times New Roman"/>
        </w:rPr>
        <w:t xml:space="preserve"> cells</w:t>
      </w:r>
      <w:r w:rsidR="007A337C">
        <w:rPr>
          <w:rFonts w:ascii="Times New Roman" w:hAnsi="Times New Roman" w:cs="Times New Roman"/>
        </w:rPr>
        <w:t>.</w:t>
      </w:r>
    </w:p>
    <w:p w14:paraId="127ACA6D" w14:textId="35759219" w:rsidR="00CD4C7B" w:rsidRDefault="00CD4C7B" w:rsidP="00CD4C7B">
      <w:pPr>
        <w:pStyle w:val="Heading1"/>
      </w:pPr>
      <w:r w:rsidRPr="006E13D1">
        <w:t>2</w:t>
      </w:r>
      <w:r w:rsidRPr="006E13D1">
        <w:tab/>
      </w:r>
      <w:r w:rsidR="00961244">
        <w:t>Discussion</w:t>
      </w:r>
    </w:p>
    <w:p w14:paraId="69E64271" w14:textId="030C3903" w:rsidR="0035069A" w:rsidRDefault="00776FAA" w:rsidP="3FFA0780">
      <w:r>
        <w:t xml:space="preserve">In DC-based and non-DC-based handover solutions, the UE would perform </w:t>
      </w:r>
      <w:r w:rsidR="00922FA7">
        <w:t xml:space="preserve">typically </w:t>
      </w:r>
      <w:r w:rsidR="00887FC6">
        <w:t xml:space="preserve">a </w:t>
      </w:r>
      <w:r>
        <w:t>random access to the target cell</w:t>
      </w:r>
      <w:r w:rsidR="00127188">
        <w:t xml:space="preserve"> using a dedicated PRACH preamble</w:t>
      </w:r>
      <w:r>
        <w:t xml:space="preserve"> while exchanging user data with the source cell.</w:t>
      </w:r>
      <w:r w:rsidR="00161919">
        <w:t xml:space="preserve"> </w:t>
      </w:r>
      <w:r w:rsidR="009433C1">
        <w:t>T</w:t>
      </w:r>
      <w:r w:rsidR="00144D8F">
        <w:t xml:space="preserve">he </w:t>
      </w:r>
      <w:r w:rsidR="0035069A">
        <w:t>rando</w:t>
      </w:r>
      <w:commentRangeStart w:id="0"/>
      <w:commentRangeEnd w:id="0"/>
      <w:r w:rsidR="0035069A">
        <w:t xml:space="preserve">m access procedure </w:t>
      </w:r>
      <w:r w:rsidR="007A248D">
        <w:t>may</w:t>
      </w:r>
      <w:r w:rsidR="00144D8F">
        <w:t xml:space="preserve"> fail</w:t>
      </w:r>
      <w:r w:rsidR="007A248D">
        <w:t xml:space="preserve"> </w:t>
      </w:r>
      <w:r w:rsidR="00DF6582">
        <w:t xml:space="preserve">if </w:t>
      </w:r>
      <w:r w:rsidR="00411D87">
        <w:t xml:space="preserve">the </w:t>
      </w:r>
      <w:r w:rsidR="0035069A">
        <w:t xml:space="preserve">target </w:t>
      </w:r>
      <w:r w:rsidR="00F93249">
        <w:t xml:space="preserve">cell </w:t>
      </w:r>
      <w:r w:rsidR="00701421">
        <w:t>does</w:t>
      </w:r>
      <w:r w:rsidR="00F93249">
        <w:t xml:space="preserve"> not</w:t>
      </w:r>
      <w:r w:rsidR="0035069A">
        <w:t xml:space="preserve"> receive the </w:t>
      </w:r>
      <w:r w:rsidR="000D3775">
        <w:t>P</w:t>
      </w:r>
      <w:r w:rsidR="0035069A">
        <w:t>RACH preamble</w:t>
      </w:r>
      <w:r w:rsidR="000D3775">
        <w:t xml:space="preserve"> (Msg1),</w:t>
      </w:r>
      <w:r w:rsidR="00161919">
        <w:t xml:space="preserve"> or the </w:t>
      </w:r>
      <w:r w:rsidR="0035069A">
        <w:t>UE</w:t>
      </w:r>
      <w:r w:rsidR="00A21F5B">
        <w:t xml:space="preserve"> </w:t>
      </w:r>
      <w:r w:rsidR="00977139">
        <w:t xml:space="preserve">has </w:t>
      </w:r>
      <w:r w:rsidR="0035069A">
        <w:t>miss</w:t>
      </w:r>
      <w:r w:rsidR="000D3775">
        <w:t>ed</w:t>
      </w:r>
      <w:r w:rsidR="0035069A">
        <w:t xml:space="preserve"> the RA</w:t>
      </w:r>
      <w:r w:rsidR="000D3775">
        <w:t>R (Msg2</w:t>
      </w:r>
      <w:r w:rsidR="0035069A">
        <w:t xml:space="preserve">) from target cell if </w:t>
      </w:r>
      <w:r w:rsidR="00923362">
        <w:t>its</w:t>
      </w:r>
      <w:r w:rsidR="0035069A">
        <w:t xml:space="preserve"> downlink quality is not good enough</w:t>
      </w:r>
      <w:r w:rsidR="00DF6582">
        <w:t>, i.e., the random access is triggered too early.</w:t>
      </w:r>
      <w:r w:rsidR="0035069A">
        <w:t xml:space="preserve"> </w:t>
      </w:r>
      <w:r w:rsidR="00405FFA">
        <w:t>In the latter case,</w:t>
      </w:r>
      <w:r w:rsidR="0035069A">
        <w:t xml:space="preserve"> the UE re-attempt</w:t>
      </w:r>
      <w:r w:rsidR="008F5492">
        <w:t>s</w:t>
      </w:r>
      <w:r w:rsidR="0035069A">
        <w:t xml:space="preserve"> </w:t>
      </w:r>
      <w:r w:rsidR="008F5492">
        <w:t>the random access</w:t>
      </w:r>
      <w:r w:rsidR="0035069A">
        <w:t xml:space="preserve"> with increased uplink transmission power even</w:t>
      </w:r>
      <w:r w:rsidR="009457E7">
        <w:t xml:space="preserve"> </w:t>
      </w:r>
      <w:r w:rsidR="0035069A">
        <w:t xml:space="preserve">though the earlier </w:t>
      </w:r>
      <w:r w:rsidR="009457E7">
        <w:t xml:space="preserve">preamble </w:t>
      </w:r>
      <w:r w:rsidR="0035069A">
        <w:t xml:space="preserve">transmission was </w:t>
      </w:r>
      <w:r w:rsidR="007315A7">
        <w:t xml:space="preserve">successfully </w:t>
      </w:r>
      <w:r w:rsidR="0035069A">
        <w:t xml:space="preserve">received </w:t>
      </w:r>
      <w:r w:rsidR="00F92C19">
        <w:t>by</w:t>
      </w:r>
      <w:r w:rsidR="0035069A">
        <w:t xml:space="preserve"> the target cell.</w:t>
      </w:r>
      <w:r w:rsidR="00BD023D" w:rsidRPr="00BD023D">
        <w:t xml:space="preserve"> </w:t>
      </w:r>
      <w:r w:rsidR="00BD023D">
        <w:t xml:space="preserve">This may lead to unnecessary </w:t>
      </w:r>
      <w:r w:rsidR="00CE0342">
        <w:t>P</w:t>
      </w:r>
      <w:r w:rsidR="00BD023D">
        <w:t xml:space="preserve">RACH </w:t>
      </w:r>
      <w:r w:rsidR="00D6684F">
        <w:t xml:space="preserve">re-transmissions and </w:t>
      </w:r>
      <w:r w:rsidR="00BD023D">
        <w:t>power ramp up</w:t>
      </w:r>
      <w:r w:rsidR="0098477E">
        <w:t xml:space="preserve"> </w:t>
      </w:r>
      <w:r w:rsidR="00BD023D">
        <w:t>during handover execution</w:t>
      </w:r>
      <w:r w:rsidR="001656FE">
        <w:t>.</w:t>
      </w:r>
    </w:p>
    <w:p w14:paraId="06F3DBB8" w14:textId="5CDCF8B3" w:rsidR="00E11D1D" w:rsidRDefault="00E11D1D" w:rsidP="00064E08">
      <w:r>
        <w:t>Note that scenarios where the uplink is good enough that the PRACH is successfully received, but the downlink is not good enough that the RAR is successfully received, are not too unlike</w:t>
      </w:r>
      <w:r w:rsidR="00A167B0">
        <w:t>ly</w:t>
      </w:r>
      <w:r>
        <w:t>.</w:t>
      </w:r>
      <w:r w:rsidR="00EC4557">
        <w:t xml:space="preserve"> Traditionally, the uplink is assumed to be more limiting since the UEs have less Tx power available. However, this</w:t>
      </w:r>
      <w:r w:rsidR="00DA73A7">
        <w:t xml:space="preserve"> radio quality</w:t>
      </w:r>
      <w:r w:rsidR="00EC4557">
        <w:t xml:space="preserve"> difference</w:t>
      </w:r>
      <w:r w:rsidR="00DA73A7">
        <w:t xml:space="preserve"> between UL and DL</w:t>
      </w:r>
      <w:r w:rsidR="00EC4557">
        <w:t xml:space="preserve"> gets smaller in smaller cells and at higher frequencies in NR. Furthermore, in many capacity limited areas, uplinks are less loaded than downlinks, and thus there is much more downlink interference than uplink interference and thereby better signal qualities in the uplink.</w:t>
      </w:r>
    </w:p>
    <w:p w14:paraId="6435D772" w14:textId="243DD98C" w:rsidR="00094662" w:rsidRPr="007638D4" w:rsidRDefault="00094662">
      <w:pPr>
        <w:rPr>
          <w:b/>
          <w:bCs/>
        </w:rPr>
      </w:pPr>
      <w:r w:rsidRPr="00A167B0">
        <w:rPr>
          <w:b/>
          <w:bCs/>
        </w:rPr>
        <w:t xml:space="preserve">Observation </w:t>
      </w:r>
      <w:r w:rsidR="004F7967" w:rsidRPr="00A167B0">
        <w:rPr>
          <w:b/>
          <w:bCs/>
        </w:rPr>
        <w:t>1</w:t>
      </w:r>
      <w:r w:rsidRPr="00A167B0">
        <w:rPr>
          <w:b/>
          <w:bCs/>
        </w:rPr>
        <w:t xml:space="preserve">: </w:t>
      </w:r>
      <w:r w:rsidR="00693FE8" w:rsidRPr="00A167B0">
        <w:rPr>
          <w:b/>
          <w:bCs/>
        </w:rPr>
        <w:t xml:space="preserve">The UE </w:t>
      </w:r>
      <w:r w:rsidR="00BD2F2E" w:rsidRPr="00A167B0">
        <w:rPr>
          <w:b/>
          <w:bCs/>
        </w:rPr>
        <w:t xml:space="preserve">may unnecessarily re-transmit the PRACH preamble </w:t>
      </w:r>
      <w:r w:rsidR="00F41544" w:rsidRPr="00A167B0">
        <w:rPr>
          <w:b/>
          <w:bCs/>
        </w:rPr>
        <w:t xml:space="preserve">using </w:t>
      </w:r>
      <w:r w:rsidR="00BD2F2E" w:rsidRPr="00A167B0">
        <w:rPr>
          <w:b/>
          <w:bCs/>
        </w:rPr>
        <w:t>power ramp up even though the target cell has</w:t>
      </w:r>
      <w:r w:rsidR="00693FE8" w:rsidRPr="00A167B0">
        <w:rPr>
          <w:b/>
          <w:bCs/>
        </w:rPr>
        <w:t xml:space="preserve"> </w:t>
      </w:r>
      <w:r w:rsidR="00BD2F2E" w:rsidRPr="00A167B0">
        <w:rPr>
          <w:b/>
          <w:bCs/>
        </w:rPr>
        <w:t xml:space="preserve">already </w:t>
      </w:r>
      <w:r w:rsidR="00693FE8" w:rsidRPr="00A167B0">
        <w:rPr>
          <w:b/>
          <w:bCs/>
        </w:rPr>
        <w:t>receive</w:t>
      </w:r>
      <w:r w:rsidR="00BD2F2E" w:rsidRPr="00A167B0">
        <w:rPr>
          <w:b/>
          <w:bCs/>
        </w:rPr>
        <w:t>d</w:t>
      </w:r>
      <w:r w:rsidR="00693FE8" w:rsidRPr="00A167B0">
        <w:rPr>
          <w:b/>
          <w:bCs/>
        </w:rPr>
        <w:t xml:space="preserve"> the </w:t>
      </w:r>
      <w:r w:rsidR="00BD2F2E" w:rsidRPr="00A167B0">
        <w:rPr>
          <w:b/>
          <w:bCs/>
        </w:rPr>
        <w:t>PRACH preamble from the UE</w:t>
      </w:r>
      <w:r w:rsidR="58D4AD94" w:rsidRPr="00D26E9A">
        <w:rPr>
          <w:b/>
          <w:bCs/>
        </w:rPr>
        <w:t>.</w:t>
      </w:r>
    </w:p>
    <w:p w14:paraId="691E58FF" w14:textId="04CE1395" w:rsidR="00F221D9" w:rsidRDefault="00F221D9" w:rsidP="00064E08">
      <w:r>
        <w:t xml:space="preserve">In legacy HO, the UE detaches from the source cell when starting the random access procedure to the target cell. As such, there was no way to communicate to the UE that the PRACH preamble was received by the target cell. However, in DC-based and non-DC based </w:t>
      </w:r>
      <w:r w:rsidR="00DA73A7">
        <w:t xml:space="preserve">enhanced mobility </w:t>
      </w:r>
      <w:r>
        <w:t>solutions, the UE continues to exchange user data with the source cell while performing the random access. As such, the radio link of the source cell can be used in principle to notify the UE about the successful reception of the PRACH preamble</w:t>
      </w:r>
      <w:r w:rsidR="001051F1">
        <w:t xml:space="preserve"> </w:t>
      </w:r>
      <w:r w:rsidR="00D2495D">
        <w:t>by</w:t>
      </w:r>
      <w:r w:rsidR="001051F1">
        <w:t xml:space="preserve"> the target cell</w:t>
      </w:r>
      <w:r>
        <w:t>.</w:t>
      </w:r>
    </w:p>
    <w:p w14:paraId="31F4B135" w14:textId="78A92CF4" w:rsidR="00F221D9" w:rsidRPr="007638D4" w:rsidRDefault="005A246E">
      <w:pPr>
        <w:rPr>
          <w:b/>
          <w:bCs/>
        </w:rPr>
      </w:pPr>
      <w:r w:rsidRPr="00A167B0">
        <w:rPr>
          <w:b/>
          <w:bCs/>
        </w:rPr>
        <w:t xml:space="preserve">Observation 2: </w:t>
      </w:r>
      <w:r w:rsidR="001051F1" w:rsidRPr="00A167B0">
        <w:rPr>
          <w:b/>
          <w:bCs/>
        </w:rPr>
        <w:t>The radio link of the source cell can be used to notify the UE about the successful</w:t>
      </w:r>
      <w:commentRangeStart w:id="1"/>
      <w:commentRangeEnd w:id="1"/>
      <w:r w:rsidR="001051F1" w:rsidRPr="00A167B0">
        <w:rPr>
          <w:b/>
          <w:bCs/>
        </w:rPr>
        <w:t xml:space="preserve"> reception of the PRACH preamble </w:t>
      </w:r>
      <w:r w:rsidR="00ED3455" w:rsidRPr="00A167B0">
        <w:rPr>
          <w:b/>
          <w:bCs/>
        </w:rPr>
        <w:t>by</w:t>
      </w:r>
      <w:r w:rsidR="001051F1" w:rsidRPr="00A167B0">
        <w:rPr>
          <w:b/>
          <w:bCs/>
        </w:rPr>
        <w:t xml:space="preserve"> the target cell</w:t>
      </w:r>
      <w:r w:rsidR="001F29F6">
        <w:rPr>
          <w:b/>
          <w:bCs/>
        </w:rPr>
        <w:t xml:space="preserve"> in dual-connected handover</w:t>
      </w:r>
      <w:r w:rsidR="001051F1" w:rsidRPr="00A167B0">
        <w:rPr>
          <w:b/>
          <w:bCs/>
        </w:rPr>
        <w:t>.</w:t>
      </w:r>
    </w:p>
    <w:p w14:paraId="65035017" w14:textId="2FDCCB5E" w:rsidR="001051F1" w:rsidRDefault="001051F1" w:rsidP="001051F1">
      <w:r>
        <w:t>Using this notification, the UE can re-transmit the PRACH preamble to the target cell without power ramp up which decrease</w:t>
      </w:r>
      <w:r w:rsidR="00DA73A7">
        <w:t>s</w:t>
      </w:r>
      <w:r>
        <w:t xml:space="preserve"> the UL interference. </w:t>
      </w:r>
    </w:p>
    <w:p w14:paraId="70CC28F2" w14:textId="22A6728E" w:rsidR="001051F1" w:rsidRDefault="001051F1" w:rsidP="001051F1">
      <w:pPr>
        <w:rPr>
          <w:b/>
        </w:rPr>
      </w:pPr>
      <w:r w:rsidRPr="00961244">
        <w:rPr>
          <w:b/>
        </w:rPr>
        <w:t>Observation 3: Using the notification from the source cell that the PRACH preamble has been received by the target cell, the UE can stop power ramping when re-transmitting the PRACH preamble.</w:t>
      </w:r>
    </w:p>
    <w:p w14:paraId="2816F936" w14:textId="0A6C9BE1" w:rsidR="00322F5F" w:rsidRDefault="001051F1" w:rsidP="001051F1">
      <w:r>
        <w:lastRenderedPageBreak/>
        <w:t xml:space="preserve">Alternatively, the UE can stop re-transmitting the PRACH preamble and wait to receive the RAR from the target cell. In this case, the UE can save the unnecessary PRACH re-transmissions and wait immediately for RAR reception which in turn </w:t>
      </w:r>
      <w:r w:rsidR="00CF79F7">
        <w:t>reduces the interference induced by PRACH transmissions</w:t>
      </w:r>
      <w:r>
        <w:t xml:space="preserve"> </w:t>
      </w:r>
      <w:r w:rsidR="00CF79F7">
        <w:t xml:space="preserve">and may </w:t>
      </w:r>
      <w:r w:rsidR="00DA73A7">
        <w:t>accelerate</w:t>
      </w:r>
      <w:r>
        <w:t xml:space="preserve"> the </w:t>
      </w:r>
      <w:r w:rsidR="00960CEB">
        <w:t>random-access</w:t>
      </w:r>
      <w:r>
        <w:t xml:space="preserve"> procedure</w:t>
      </w:r>
      <w:r w:rsidR="00CF79F7">
        <w:t>, i.e., the UE does not need to wait for the next RACH occasion to re-transmit PRACH preamble</w:t>
      </w:r>
      <w:r>
        <w:t>.</w:t>
      </w:r>
      <w:r w:rsidR="00960CEB">
        <w:t xml:space="preserve"> </w:t>
      </w:r>
      <w:r w:rsidR="007E0E36">
        <w:t xml:space="preserve">This </w:t>
      </w:r>
      <w:r w:rsidR="00960CEB">
        <w:t xml:space="preserve">enhancement is illustrated </w:t>
      </w:r>
      <w:r w:rsidR="007E0E36">
        <w:t>in Fig. 1.</w:t>
      </w:r>
    </w:p>
    <w:p w14:paraId="402E386A" w14:textId="48371685" w:rsidR="00322F5F" w:rsidRDefault="00322F5F" w:rsidP="001051F1"/>
    <w:p w14:paraId="7B6B6306" w14:textId="77777777" w:rsidR="001721C7" w:rsidRDefault="001721C7" w:rsidP="00961244">
      <w:pPr>
        <w:keepNext/>
      </w:pPr>
      <w:r>
        <w:rPr>
          <w:noProof/>
        </w:rPr>
        <w:drawing>
          <wp:inline distT="0" distB="0" distL="0" distR="0" wp14:anchorId="73AE68D6" wp14:editId="393B2F21">
            <wp:extent cx="5728890" cy="44958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ication_monitor_RAR.png"/>
                    <pic:cNvPicPr/>
                  </pic:nvPicPr>
                  <pic:blipFill>
                    <a:blip r:embed="rId13">
                      <a:extLst>
                        <a:ext uri="{28A0092B-C50C-407E-A947-70E740481C1C}">
                          <a14:useLocalDpi xmlns:a14="http://schemas.microsoft.com/office/drawing/2010/main" val="0"/>
                        </a:ext>
                      </a:extLst>
                    </a:blip>
                    <a:stretch>
                      <a:fillRect/>
                    </a:stretch>
                  </pic:blipFill>
                  <pic:spPr>
                    <a:xfrm>
                      <a:off x="0" y="0"/>
                      <a:ext cx="5732519" cy="4498648"/>
                    </a:xfrm>
                    <a:prstGeom prst="rect">
                      <a:avLst/>
                    </a:prstGeom>
                  </pic:spPr>
                </pic:pic>
              </a:graphicData>
            </a:graphic>
          </wp:inline>
        </w:drawing>
      </w:r>
    </w:p>
    <w:p w14:paraId="0467C842" w14:textId="5659ADA7" w:rsidR="00322F5F" w:rsidRPr="00313A0C" w:rsidRDefault="001721C7" w:rsidP="00961244">
      <w:pPr>
        <w:pStyle w:val="Caption"/>
        <w:rPr>
          <w:b/>
          <w:color w:val="auto"/>
        </w:rPr>
      </w:pPr>
      <w:r w:rsidRPr="00313A0C">
        <w:rPr>
          <w:b/>
          <w:color w:val="auto"/>
        </w:rPr>
        <w:t xml:space="preserve">Figure </w:t>
      </w:r>
      <w:r w:rsidRPr="00313A0C">
        <w:rPr>
          <w:b/>
          <w:color w:val="auto"/>
        </w:rPr>
        <w:fldChar w:fldCharType="begin"/>
      </w:r>
      <w:r w:rsidRPr="00313A0C">
        <w:rPr>
          <w:b/>
          <w:color w:val="auto"/>
        </w:rPr>
        <w:instrText xml:space="preserve"> SEQ Figure \* ARABIC </w:instrText>
      </w:r>
      <w:r w:rsidRPr="00313A0C">
        <w:rPr>
          <w:b/>
          <w:color w:val="auto"/>
        </w:rPr>
        <w:fldChar w:fldCharType="separate"/>
      </w:r>
      <w:r w:rsidR="00B27A02" w:rsidRPr="00313A0C">
        <w:rPr>
          <w:b/>
          <w:noProof/>
          <w:color w:val="auto"/>
        </w:rPr>
        <w:t>1</w:t>
      </w:r>
      <w:r w:rsidRPr="00313A0C">
        <w:rPr>
          <w:b/>
          <w:color w:val="auto"/>
        </w:rPr>
        <w:fldChar w:fldCharType="end"/>
      </w:r>
      <w:r w:rsidRPr="00313A0C">
        <w:rPr>
          <w:b/>
          <w:color w:val="auto"/>
        </w:rPr>
        <w:t>: UE stops re-transmitting the PRACH preamble upon receiving from the source cell a notification that the preamble was received by the target cell.</w:t>
      </w:r>
    </w:p>
    <w:p w14:paraId="4D656629" w14:textId="4EDD0171" w:rsidR="00705A34" w:rsidRDefault="00705A34" w:rsidP="00705A34">
      <w:pPr>
        <w:rPr>
          <w:b/>
        </w:rPr>
      </w:pPr>
      <w:r w:rsidRPr="00961244">
        <w:rPr>
          <w:b/>
        </w:rPr>
        <w:t>Observation 4: Using the notification from the source cell that the PRACH preamble has been received by the target cell, the UE can stop re-transmitting the PRACH preamble and waits to receive RAR from the target cell</w:t>
      </w:r>
      <w:r>
        <w:rPr>
          <w:b/>
        </w:rPr>
        <w:t>.</w:t>
      </w:r>
    </w:p>
    <w:p w14:paraId="0ABFDC10" w14:textId="11226BA8" w:rsidR="001051F1" w:rsidRDefault="00FE5183" w:rsidP="00A47CA0">
      <w:r>
        <w:t xml:space="preserve">Alternatively, </w:t>
      </w:r>
      <w:r w:rsidR="00705A34">
        <w:t xml:space="preserve">the whole RAR can be forwarded from the target </w:t>
      </w:r>
      <w:r w:rsidR="00AF4C2A">
        <w:t xml:space="preserve">cell </w:t>
      </w:r>
      <w:r w:rsidR="00705A34">
        <w:t xml:space="preserve">to the source cell. Upon receiving the RAR (either from source or target cell), the UE proceeds with the transmission of Msg3. </w:t>
      </w:r>
      <w:r w:rsidR="00302ED4">
        <w:t>If the RAR was</w:t>
      </w:r>
      <w:r w:rsidR="008E6F05">
        <w:t xml:space="preserve"> obtained</w:t>
      </w:r>
      <w:r w:rsidR="00302ED4">
        <w:t xml:space="preserve"> from the source cell, </w:t>
      </w:r>
      <w:r w:rsidR="0069600B">
        <w:t xml:space="preserve">the </w:t>
      </w:r>
      <w:r w:rsidR="00705A34">
        <w:t xml:space="preserve">UE may </w:t>
      </w:r>
      <w:r w:rsidR="004773EB">
        <w:t>need to successfully</w:t>
      </w:r>
      <w:r w:rsidR="00705A34">
        <w:t xml:space="preserve"> receive </w:t>
      </w:r>
      <w:r w:rsidR="0069600B">
        <w:t xml:space="preserve">another </w:t>
      </w:r>
      <w:r w:rsidR="00705A34">
        <w:t>Msg4</w:t>
      </w:r>
      <w:r w:rsidR="00021C0E">
        <w:t>, as response to Msg3, for</w:t>
      </w:r>
      <w:r w:rsidR="0069600B">
        <w:t xml:space="preserve"> </w:t>
      </w:r>
      <w:r w:rsidR="00705A34">
        <w:t>consider</w:t>
      </w:r>
      <w:r w:rsidR="00021C0E">
        <w:t>ing</w:t>
      </w:r>
      <w:r w:rsidR="00705A34">
        <w:t xml:space="preserve"> the handover execution complete.</w:t>
      </w:r>
      <w:r w:rsidR="000303D1">
        <w:t xml:space="preserve"> </w:t>
      </w:r>
      <w:r w:rsidR="00302ED4">
        <w:t xml:space="preserve">This is to ensure that the downlink </w:t>
      </w:r>
      <w:r w:rsidR="00F216F6">
        <w:t xml:space="preserve">radio link </w:t>
      </w:r>
      <w:r w:rsidR="00302ED4">
        <w:t xml:space="preserve">quality of the target cell is sufficient for reception. </w:t>
      </w:r>
      <w:r w:rsidR="000303D1">
        <w:t>This enhancemen</w:t>
      </w:r>
      <w:r w:rsidR="00D5371D">
        <w:t xml:space="preserve">t </w:t>
      </w:r>
      <w:r w:rsidR="0052271D">
        <w:t xml:space="preserve">ensures </w:t>
      </w:r>
      <w:r w:rsidR="00D5371D">
        <w:t>that</w:t>
      </w:r>
      <w:r w:rsidR="00543E71">
        <w:t xml:space="preserve"> UE gets</w:t>
      </w:r>
      <w:r w:rsidR="0052271D">
        <w:t xml:space="preserve"> more reliably</w:t>
      </w:r>
      <w:r w:rsidR="00543E71">
        <w:t xml:space="preserve"> the RAR and proceeds </w:t>
      </w:r>
      <w:r w:rsidR="007B4538">
        <w:t>faster</w:t>
      </w:r>
      <w:r w:rsidR="002E1ADD">
        <w:t xml:space="preserve"> </w:t>
      </w:r>
      <w:r w:rsidR="00FA44A7">
        <w:t>to</w:t>
      </w:r>
      <w:r w:rsidR="00543E71">
        <w:t xml:space="preserve"> the transmission of Msg3</w:t>
      </w:r>
      <w:r w:rsidR="00BB1FE9">
        <w:t xml:space="preserve"> </w:t>
      </w:r>
      <w:r w:rsidR="003E3D3B">
        <w:t>for</w:t>
      </w:r>
      <w:r w:rsidR="00BB1FE9">
        <w:t xml:space="preserve"> complet</w:t>
      </w:r>
      <w:r w:rsidR="003E3D3B">
        <w:t>ing</w:t>
      </w:r>
      <w:r w:rsidR="00BB1FE9">
        <w:t xml:space="preserve"> the handover</w:t>
      </w:r>
      <w:r w:rsidR="00543E71">
        <w:t xml:space="preserve">. </w:t>
      </w:r>
      <w:r w:rsidR="00B27A02">
        <w:t xml:space="preserve">For clarity, the procedure </w:t>
      </w:r>
      <w:r w:rsidR="000303D1">
        <w:t>is illustrated in Fig. 2.</w:t>
      </w:r>
      <w:r w:rsidR="00B27A02">
        <w:t xml:space="preserve"> </w:t>
      </w:r>
      <w:r w:rsidR="00333DBF">
        <w:t>Herein, t</w:t>
      </w:r>
      <w:r w:rsidR="00B27A02">
        <w:t xml:space="preserve">he RAR forwarded by the target </w:t>
      </w:r>
      <w:r w:rsidR="000951EF">
        <w:t>cell</w:t>
      </w:r>
      <w:r w:rsidR="00B27A02">
        <w:t xml:space="preserve"> to the UE via the source cell may contain a</w:t>
      </w:r>
      <w:r w:rsidR="00383925">
        <w:t xml:space="preserve"> different</w:t>
      </w:r>
      <w:r w:rsidR="00B27A02">
        <w:t xml:space="preserve"> UL grant to account for the delay </w:t>
      </w:r>
      <w:r w:rsidR="002556AD">
        <w:t>on</w:t>
      </w:r>
      <w:r w:rsidR="00F329F4">
        <w:t xml:space="preserve"> the</w:t>
      </w:r>
      <w:r w:rsidR="00B27A02">
        <w:t xml:space="preserve"> Xn interface.</w:t>
      </w:r>
    </w:p>
    <w:p w14:paraId="68FA69F5" w14:textId="03BC0436" w:rsidR="009D75EE" w:rsidRDefault="009D75EE" w:rsidP="009D75EE">
      <w:pPr>
        <w:rPr>
          <w:b/>
        </w:rPr>
      </w:pPr>
      <w:r w:rsidRPr="006610DA">
        <w:rPr>
          <w:b/>
        </w:rPr>
        <w:t xml:space="preserve">Observation </w:t>
      </w:r>
      <w:r>
        <w:rPr>
          <w:b/>
        </w:rPr>
        <w:t>5</w:t>
      </w:r>
      <w:r w:rsidRPr="006610DA">
        <w:rPr>
          <w:b/>
        </w:rPr>
        <w:t xml:space="preserve">: </w:t>
      </w:r>
      <w:r>
        <w:rPr>
          <w:b/>
        </w:rPr>
        <w:t>In DC-based and non</w:t>
      </w:r>
      <w:r w:rsidR="00091D83">
        <w:rPr>
          <w:b/>
        </w:rPr>
        <w:t xml:space="preserve">-DC based </w:t>
      </w:r>
      <w:r w:rsidR="00FE5183">
        <w:rPr>
          <w:b/>
        </w:rPr>
        <w:t xml:space="preserve">enhanced mobility </w:t>
      </w:r>
      <w:r w:rsidR="00091D83">
        <w:rPr>
          <w:b/>
        </w:rPr>
        <w:t xml:space="preserve">solutions, the RAR can be transmitted to the UE via radio links of the target cell and source cell. The UE sends Msg3 upon receiving the RAR from either the source or target cell. </w:t>
      </w:r>
    </w:p>
    <w:p w14:paraId="06B5C49B" w14:textId="69433A8D" w:rsidR="00961244" w:rsidRPr="00961244" w:rsidRDefault="00961244" w:rsidP="009D75EE">
      <w:pPr>
        <w:rPr>
          <w:b/>
        </w:rPr>
      </w:pPr>
      <w:r w:rsidRPr="00961244">
        <w:rPr>
          <w:b/>
        </w:rPr>
        <w:t xml:space="preserve">Proposal 1: RAN2 </w:t>
      </w:r>
      <w:r w:rsidR="006B04C1">
        <w:rPr>
          <w:b/>
        </w:rPr>
        <w:t xml:space="preserve">is asked </w:t>
      </w:r>
      <w:r w:rsidRPr="00961244">
        <w:rPr>
          <w:b/>
        </w:rPr>
        <w:t>to consider the aforementioned enhancements to the random access procedure in DC-based and non-DC based handover.</w:t>
      </w:r>
    </w:p>
    <w:p w14:paraId="7179CEAB" w14:textId="77777777" w:rsidR="009D75EE" w:rsidRDefault="009D75EE" w:rsidP="00A47CA0"/>
    <w:p w14:paraId="1E2CB098" w14:textId="77777777" w:rsidR="00B27A02" w:rsidRDefault="00B27A02" w:rsidP="00961244">
      <w:pPr>
        <w:keepNext/>
        <w:jc w:val="center"/>
      </w:pPr>
      <w:r>
        <w:rPr>
          <w:noProof/>
        </w:rPr>
        <w:drawing>
          <wp:inline distT="0" distB="0" distL="0" distR="0" wp14:anchorId="5576F0E3" wp14:editId="1CE281C2">
            <wp:extent cx="5887130" cy="3867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sg3_transmission.png"/>
                    <pic:cNvPicPr/>
                  </pic:nvPicPr>
                  <pic:blipFill>
                    <a:blip r:embed="rId14">
                      <a:extLst>
                        <a:ext uri="{28A0092B-C50C-407E-A947-70E740481C1C}">
                          <a14:useLocalDpi xmlns:a14="http://schemas.microsoft.com/office/drawing/2010/main" val="0"/>
                        </a:ext>
                      </a:extLst>
                    </a:blip>
                    <a:stretch>
                      <a:fillRect/>
                    </a:stretch>
                  </pic:blipFill>
                  <pic:spPr>
                    <a:xfrm>
                      <a:off x="0" y="0"/>
                      <a:ext cx="5888931" cy="3868333"/>
                    </a:xfrm>
                    <a:prstGeom prst="rect">
                      <a:avLst/>
                    </a:prstGeom>
                  </pic:spPr>
                </pic:pic>
              </a:graphicData>
            </a:graphic>
          </wp:inline>
        </w:drawing>
      </w:r>
    </w:p>
    <w:p w14:paraId="7290DE43" w14:textId="69CB044C" w:rsidR="000303D1" w:rsidRPr="00313A0C" w:rsidRDefault="00B27A02" w:rsidP="00961244">
      <w:pPr>
        <w:pStyle w:val="Caption"/>
        <w:jc w:val="center"/>
        <w:rPr>
          <w:b/>
          <w:color w:val="auto"/>
        </w:rPr>
      </w:pPr>
      <w:r w:rsidRPr="00313A0C">
        <w:rPr>
          <w:b/>
          <w:color w:val="auto"/>
        </w:rPr>
        <w:t xml:space="preserve">Figure </w:t>
      </w:r>
      <w:r w:rsidRPr="00313A0C">
        <w:rPr>
          <w:b/>
          <w:color w:val="auto"/>
        </w:rPr>
        <w:fldChar w:fldCharType="begin"/>
      </w:r>
      <w:r w:rsidRPr="00313A0C">
        <w:rPr>
          <w:b/>
          <w:color w:val="auto"/>
        </w:rPr>
        <w:instrText xml:space="preserve"> SEQ Figure \* ARABIC </w:instrText>
      </w:r>
      <w:r w:rsidRPr="00313A0C">
        <w:rPr>
          <w:b/>
          <w:color w:val="auto"/>
        </w:rPr>
        <w:fldChar w:fldCharType="separate"/>
      </w:r>
      <w:r w:rsidRPr="00313A0C">
        <w:rPr>
          <w:b/>
          <w:noProof/>
          <w:color w:val="auto"/>
        </w:rPr>
        <w:t>2</w:t>
      </w:r>
      <w:r w:rsidRPr="00313A0C">
        <w:rPr>
          <w:b/>
          <w:color w:val="auto"/>
        </w:rPr>
        <w:fldChar w:fldCharType="end"/>
      </w:r>
      <w:r w:rsidRPr="00313A0C">
        <w:rPr>
          <w:b/>
          <w:color w:val="auto"/>
        </w:rPr>
        <w:t>: UE sends Msg3 using the RAR of the target cell received from the radio link of the source cell.</w:t>
      </w:r>
    </w:p>
    <w:p w14:paraId="6FE95075" w14:textId="77777777" w:rsidR="00B27A02" w:rsidRDefault="00B27A02" w:rsidP="00A47CA0"/>
    <w:p w14:paraId="43AAC9DC" w14:textId="7088D8F7" w:rsidR="00961244" w:rsidRDefault="0062152B" w:rsidP="00961244">
      <w:pPr>
        <w:pStyle w:val="Heading1"/>
      </w:pPr>
      <w:bookmarkStart w:id="2" w:name="_Ref3366693"/>
      <w:r>
        <w:t>3</w:t>
      </w:r>
      <w:r w:rsidR="00961244" w:rsidRPr="006E13D1">
        <w:tab/>
      </w:r>
      <w:r w:rsidR="00E62CB6">
        <w:t>Conclusion</w:t>
      </w:r>
    </w:p>
    <w:p w14:paraId="2CF3EDD3" w14:textId="09BA83D9" w:rsidR="00E62CB6" w:rsidRDefault="00E62CB6" w:rsidP="00E62CB6">
      <w:r>
        <w:t>In this paper, we have proposed enhancements to the random access procedure in DC-based and non-DC based handover. The observations and proposals are summarized in the following:</w:t>
      </w:r>
    </w:p>
    <w:p w14:paraId="4709A843" w14:textId="77777777" w:rsidR="006B04C1" w:rsidRPr="00D13582" w:rsidRDefault="006B04C1" w:rsidP="006B04C1">
      <w:pPr>
        <w:rPr>
          <w:b/>
          <w:bCs/>
        </w:rPr>
      </w:pPr>
      <w:r w:rsidRPr="00A167B0">
        <w:rPr>
          <w:b/>
          <w:bCs/>
        </w:rPr>
        <w:t>Observation 1: The UE may unnecessarily re-transmit the PRACH preamble using power ramp up even though the target cell has already received the PRACH preamble from the UE</w:t>
      </w:r>
      <w:r w:rsidRPr="00D26E9A">
        <w:rPr>
          <w:b/>
          <w:bCs/>
        </w:rPr>
        <w:t>.</w:t>
      </w:r>
    </w:p>
    <w:p w14:paraId="061A295A" w14:textId="77777777" w:rsidR="006B04C1" w:rsidRPr="00D13582" w:rsidRDefault="006B04C1" w:rsidP="006B04C1">
      <w:pPr>
        <w:rPr>
          <w:b/>
          <w:bCs/>
        </w:rPr>
      </w:pPr>
      <w:r w:rsidRPr="00A167B0">
        <w:rPr>
          <w:b/>
          <w:bCs/>
        </w:rPr>
        <w:t>Observation 2: The radio link of the source cell can be used to notify the UE about the successful reception of the PRACH preamble by the target cell</w:t>
      </w:r>
      <w:r>
        <w:rPr>
          <w:b/>
          <w:bCs/>
        </w:rPr>
        <w:t xml:space="preserve"> in dual-connected handover</w:t>
      </w:r>
      <w:r w:rsidRPr="00A167B0">
        <w:rPr>
          <w:b/>
          <w:bCs/>
        </w:rPr>
        <w:t>.</w:t>
      </w:r>
    </w:p>
    <w:p w14:paraId="15F503CE" w14:textId="77777777" w:rsidR="006B04C1" w:rsidRDefault="006B04C1" w:rsidP="006B04C1">
      <w:pPr>
        <w:rPr>
          <w:b/>
        </w:rPr>
      </w:pPr>
      <w:r w:rsidRPr="00961244">
        <w:rPr>
          <w:b/>
        </w:rPr>
        <w:t>Observation 3: Using the notification from the source cell that the PRACH preamble has been received by the target cell, the UE can stop power ramping when re-transmitting the PRACH preamble.</w:t>
      </w:r>
    </w:p>
    <w:p w14:paraId="4E717C45" w14:textId="620A3CF7" w:rsidR="006B04C1" w:rsidRDefault="006B04C1" w:rsidP="006B04C1">
      <w:pPr>
        <w:rPr>
          <w:b/>
        </w:rPr>
      </w:pPr>
      <w:r w:rsidRPr="00961244">
        <w:rPr>
          <w:b/>
        </w:rPr>
        <w:t>Observation 4: Using the notification from the source cell that the PRACH preamble has been received by the target cell, the UE can stop re-transmitting the PRACH preamble and waits to receive RAR from the target cell</w:t>
      </w:r>
      <w:r>
        <w:rPr>
          <w:b/>
        </w:rPr>
        <w:t>.</w:t>
      </w:r>
    </w:p>
    <w:p w14:paraId="3DD1CB36" w14:textId="3F1339A6" w:rsidR="006B04C1" w:rsidRDefault="006B04C1" w:rsidP="006B04C1">
      <w:pPr>
        <w:rPr>
          <w:b/>
        </w:rPr>
      </w:pPr>
      <w:r w:rsidRPr="006610DA">
        <w:rPr>
          <w:b/>
        </w:rPr>
        <w:t xml:space="preserve">Observation </w:t>
      </w:r>
      <w:r>
        <w:rPr>
          <w:b/>
        </w:rPr>
        <w:t>5</w:t>
      </w:r>
      <w:r w:rsidRPr="006610DA">
        <w:rPr>
          <w:b/>
        </w:rPr>
        <w:t xml:space="preserve">: </w:t>
      </w:r>
      <w:r>
        <w:rPr>
          <w:b/>
        </w:rPr>
        <w:t xml:space="preserve">In DC-based and non-DC based enhanced mobility solutions, the RAR can be transmitted to the UE via radio links of the target cell and source cell. The UE sends Msg3 upon receiving the RAR from either the source or target cell. </w:t>
      </w:r>
    </w:p>
    <w:p w14:paraId="359BF4C9" w14:textId="458A5608" w:rsidR="00961244" w:rsidRPr="007638D4" w:rsidRDefault="006B04C1" w:rsidP="00961244">
      <w:pPr>
        <w:rPr>
          <w:b/>
        </w:rPr>
      </w:pPr>
      <w:r w:rsidRPr="00961244">
        <w:rPr>
          <w:b/>
        </w:rPr>
        <w:t xml:space="preserve">Proposal 1: RAN2 </w:t>
      </w:r>
      <w:r>
        <w:rPr>
          <w:b/>
        </w:rPr>
        <w:t xml:space="preserve">is asked </w:t>
      </w:r>
      <w:r w:rsidRPr="00961244">
        <w:rPr>
          <w:b/>
        </w:rPr>
        <w:t>to consider the aforementioned enhancements to the random access procedure in DC-based and non-DC based handover.</w:t>
      </w:r>
      <w:bookmarkStart w:id="3" w:name="_GoBack"/>
      <w:bookmarkEnd w:id="3"/>
    </w:p>
    <w:p w14:paraId="31E4359E" w14:textId="35B92E34" w:rsidR="00961244" w:rsidRPr="00961244" w:rsidRDefault="00961244" w:rsidP="00961244">
      <w:pPr>
        <w:pStyle w:val="Heading1"/>
      </w:pPr>
      <w:r>
        <w:lastRenderedPageBreak/>
        <w:t>References</w:t>
      </w:r>
    </w:p>
    <w:p w14:paraId="35F222F4" w14:textId="6DC73EF3" w:rsidR="00080512" w:rsidRDefault="007638D4" w:rsidP="007638D4">
      <w:pPr>
        <w:numPr>
          <w:ilvl w:val="0"/>
          <w:numId w:val="4"/>
        </w:numPr>
        <w:overflowPunct w:val="0"/>
        <w:autoSpaceDE w:val="0"/>
        <w:autoSpaceDN w:val="0"/>
        <w:adjustRightInd w:val="0"/>
        <w:textAlignment w:val="baseline"/>
      </w:pPr>
      <w:r w:rsidRPr="007638D4">
        <w:t>R2-1903001 RAN2#105 Meeting Report</w:t>
      </w:r>
      <w:bookmarkEnd w:id="2"/>
    </w:p>
    <w:sectPr w:rsidR="00080512" w:rsidSect="00A167B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D3936" w14:textId="77777777" w:rsidR="006B04C1" w:rsidRDefault="006B04C1">
      <w:r>
        <w:separator/>
      </w:r>
    </w:p>
  </w:endnote>
  <w:endnote w:type="continuationSeparator" w:id="0">
    <w:p w14:paraId="7F6CB2B5" w14:textId="77777777" w:rsidR="006B04C1" w:rsidRDefault="006B04C1">
      <w:r>
        <w:continuationSeparator/>
      </w:r>
    </w:p>
  </w:endnote>
  <w:endnote w:type="continuationNotice" w:id="1">
    <w:p w14:paraId="056301BA" w14:textId="77777777" w:rsidR="006B04C1" w:rsidRDefault="006B0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6B04C1" w:rsidRDefault="006B0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6B04C1" w:rsidRDefault="006B0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6B04C1" w:rsidRDefault="006B0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5B648" w14:textId="77777777" w:rsidR="006B04C1" w:rsidRDefault="006B04C1">
      <w:r>
        <w:separator/>
      </w:r>
    </w:p>
  </w:footnote>
  <w:footnote w:type="continuationSeparator" w:id="0">
    <w:p w14:paraId="7E4C5408" w14:textId="77777777" w:rsidR="006B04C1" w:rsidRDefault="006B04C1">
      <w:r>
        <w:continuationSeparator/>
      </w:r>
    </w:p>
  </w:footnote>
  <w:footnote w:type="continuationNotice" w:id="1">
    <w:p w14:paraId="3B169AFC" w14:textId="77777777" w:rsidR="006B04C1" w:rsidRDefault="006B0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6B04C1" w:rsidRDefault="006B0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6B04C1" w:rsidRDefault="006B0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6B04C1" w:rsidRDefault="006B0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C2837"/>
    <w:multiLevelType w:val="hybridMultilevel"/>
    <w:tmpl w:val="EE50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37351"/>
    <w:multiLevelType w:val="hybridMultilevel"/>
    <w:tmpl w:val="99D400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AF94D65"/>
    <w:multiLevelType w:val="hybridMultilevel"/>
    <w:tmpl w:val="CD7A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328AF"/>
    <w:multiLevelType w:val="hybridMultilevel"/>
    <w:tmpl w:val="F4E0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B2350C5"/>
    <w:multiLevelType w:val="hybridMultilevel"/>
    <w:tmpl w:val="A914D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65347A"/>
    <w:multiLevelType w:val="hybridMultilevel"/>
    <w:tmpl w:val="E80483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EA5E5A"/>
    <w:multiLevelType w:val="hybridMultilevel"/>
    <w:tmpl w:val="F7063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971B7"/>
    <w:multiLevelType w:val="hybridMultilevel"/>
    <w:tmpl w:val="932A5A54"/>
    <w:lvl w:ilvl="0" w:tplc="CFB2734C">
      <w:start w:val="1"/>
      <w:numFmt w:val="bullet"/>
      <w:lvlText w:val="•"/>
      <w:lvlJc w:val="left"/>
      <w:pPr>
        <w:tabs>
          <w:tab w:val="num" w:pos="720"/>
        </w:tabs>
        <w:ind w:left="720" w:hanging="360"/>
      </w:pPr>
      <w:rPr>
        <w:rFonts w:ascii="Arial" w:hAnsi="Arial" w:hint="default"/>
      </w:rPr>
    </w:lvl>
    <w:lvl w:ilvl="1" w:tplc="ADC28284">
      <w:start w:val="96"/>
      <w:numFmt w:val="bullet"/>
      <w:lvlText w:val="-"/>
      <w:lvlJc w:val="left"/>
      <w:pPr>
        <w:tabs>
          <w:tab w:val="num" w:pos="1440"/>
        </w:tabs>
        <w:ind w:left="1440" w:hanging="360"/>
      </w:pPr>
      <w:rPr>
        <w:rFonts w:ascii="Lucida Grande" w:hAnsi="Lucida Grande" w:hint="default"/>
      </w:rPr>
    </w:lvl>
    <w:lvl w:ilvl="2" w:tplc="9B1E4F86" w:tentative="1">
      <w:start w:val="1"/>
      <w:numFmt w:val="bullet"/>
      <w:lvlText w:val="•"/>
      <w:lvlJc w:val="left"/>
      <w:pPr>
        <w:tabs>
          <w:tab w:val="num" w:pos="2160"/>
        </w:tabs>
        <w:ind w:left="2160" w:hanging="360"/>
      </w:pPr>
      <w:rPr>
        <w:rFonts w:ascii="Arial" w:hAnsi="Arial" w:hint="default"/>
      </w:rPr>
    </w:lvl>
    <w:lvl w:ilvl="3" w:tplc="310C09FC" w:tentative="1">
      <w:start w:val="1"/>
      <w:numFmt w:val="bullet"/>
      <w:lvlText w:val="•"/>
      <w:lvlJc w:val="left"/>
      <w:pPr>
        <w:tabs>
          <w:tab w:val="num" w:pos="2880"/>
        </w:tabs>
        <w:ind w:left="2880" w:hanging="360"/>
      </w:pPr>
      <w:rPr>
        <w:rFonts w:ascii="Arial" w:hAnsi="Arial" w:hint="default"/>
      </w:rPr>
    </w:lvl>
    <w:lvl w:ilvl="4" w:tplc="6068DF78" w:tentative="1">
      <w:start w:val="1"/>
      <w:numFmt w:val="bullet"/>
      <w:lvlText w:val="•"/>
      <w:lvlJc w:val="left"/>
      <w:pPr>
        <w:tabs>
          <w:tab w:val="num" w:pos="3600"/>
        </w:tabs>
        <w:ind w:left="3600" w:hanging="360"/>
      </w:pPr>
      <w:rPr>
        <w:rFonts w:ascii="Arial" w:hAnsi="Arial" w:hint="default"/>
      </w:rPr>
    </w:lvl>
    <w:lvl w:ilvl="5" w:tplc="988C987C" w:tentative="1">
      <w:start w:val="1"/>
      <w:numFmt w:val="bullet"/>
      <w:lvlText w:val="•"/>
      <w:lvlJc w:val="left"/>
      <w:pPr>
        <w:tabs>
          <w:tab w:val="num" w:pos="4320"/>
        </w:tabs>
        <w:ind w:left="4320" w:hanging="360"/>
      </w:pPr>
      <w:rPr>
        <w:rFonts w:ascii="Arial" w:hAnsi="Arial" w:hint="default"/>
      </w:rPr>
    </w:lvl>
    <w:lvl w:ilvl="6" w:tplc="60FC14E8" w:tentative="1">
      <w:start w:val="1"/>
      <w:numFmt w:val="bullet"/>
      <w:lvlText w:val="•"/>
      <w:lvlJc w:val="left"/>
      <w:pPr>
        <w:tabs>
          <w:tab w:val="num" w:pos="5040"/>
        </w:tabs>
        <w:ind w:left="5040" w:hanging="360"/>
      </w:pPr>
      <w:rPr>
        <w:rFonts w:ascii="Arial" w:hAnsi="Arial" w:hint="default"/>
      </w:rPr>
    </w:lvl>
    <w:lvl w:ilvl="7" w:tplc="62D2B162" w:tentative="1">
      <w:start w:val="1"/>
      <w:numFmt w:val="bullet"/>
      <w:lvlText w:val="•"/>
      <w:lvlJc w:val="left"/>
      <w:pPr>
        <w:tabs>
          <w:tab w:val="num" w:pos="5760"/>
        </w:tabs>
        <w:ind w:left="5760" w:hanging="360"/>
      </w:pPr>
      <w:rPr>
        <w:rFonts w:ascii="Arial" w:hAnsi="Arial" w:hint="default"/>
      </w:rPr>
    </w:lvl>
    <w:lvl w:ilvl="8" w:tplc="85D839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FC747A"/>
    <w:multiLevelType w:val="hybridMultilevel"/>
    <w:tmpl w:val="91FCD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CD17AA"/>
    <w:multiLevelType w:val="hybridMultilevel"/>
    <w:tmpl w:val="124A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1711B"/>
    <w:multiLevelType w:val="hybridMultilevel"/>
    <w:tmpl w:val="E96A2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D4384E"/>
    <w:multiLevelType w:val="hybridMultilevel"/>
    <w:tmpl w:val="7900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1E7134"/>
    <w:multiLevelType w:val="hybridMultilevel"/>
    <w:tmpl w:val="43A2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1F5384"/>
    <w:multiLevelType w:val="hybridMultilevel"/>
    <w:tmpl w:val="4EAC8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13"/>
  </w:num>
  <w:num w:numId="7">
    <w:abstractNumId w:val="14"/>
  </w:num>
  <w:num w:numId="8">
    <w:abstractNumId w:val="9"/>
  </w:num>
  <w:num w:numId="9">
    <w:abstractNumId w:val="11"/>
  </w:num>
  <w:num w:numId="10">
    <w:abstractNumId w:val="5"/>
  </w:num>
  <w:num w:numId="11">
    <w:abstractNumId w:val="12"/>
  </w:num>
  <w:num w:numId="12">
    <w:abstractNumId w:val="15"/>
  </w:num>
  <w:num w:numId="13">
    <w:abstractNumId w:val="2"/>
  </w:num>
  <w:num w:numId="14">
    <w:abstractNumId w:val="10"/>
  </w:num>
  <w:num w:numId="15">
    <w:abstractNumId w:val="16"/>
  </w:num>
  <w:num w:numId="16">
    <w:abstractNumId w:val="3"/>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A"/>
    <w:rsid w:val="0000176D"/>
    <w:rsid w:val="0000346A"/>
    <w:rsid w:val="000101B9"/>
    <w:rsid w:val="00020BA4"/>
    <w:rsid w:val="00021C0E"/>
    <w:rsid w:val="000303D1"/>
    <w:rsid w:val="00033397"/>
    <w:rsid w:val="00034237"/>
    <w:rsid w:val="00040095"/>
    <w:rsid w:val="00041A9B"/>
    <w:rsid w:val="0004234A"/>
    <w:rsid w:val="00042358"/>
    <w:rsid w:val="00052E9F"/>
    <w:rsid w:val="00064E08"/>
    <w:rsid w:val="00072186"/>
    <w:rsid w:val="00077114"/>
    <w:rsid w:val="00080512"/>
    <w:rsid w:val="00085C53"/>
    <w:rsid w:val="00090468"/>
    <w:rsid w:val="00091D83"/>
    <w:rsid w:val="00094662"/>
    <w:rsid w:val="000951EF"/>
    <w:rsid w:val="000B50A6"/>
    <w:rsid w:val="000B7796"/>
    <w:rsid w:val="000B7BCF"/>
    <w:rsid w:val="000C0F43"/>
    <w:rsid w:val="000C4AE9"/>
    <w:rsid w:val="000C522B"/>
    <w:rsid w:val="000C5A93"/>
    <w:rsid w:val="000D057C"/>
    <w:rsid w:val="000D3775"/>
    <w:rsid w:val="000D58AB"/>
    <w:rsid w:val="000D7A50"/>
    <w:rsid w:val="000E7920"/>
    <w:rsid w:val="00102169"/>
    <w:rsid w:val="001051F1"/>
    <w:rsid w:val="00110693"/>
    <w:rsid w:val="00112F1A"/>
    <w:rsid w:val="00113A2E"/>
    <w:rsid w:val="00125318"/>
    <w:rsid w:val="00127188"/>
    <w:rsid w:val="00144D8F"/>
    <w:rsid w:val="00145075"/>
    <w:rsid w:val="001474B7"/>
    <w:rsid w:val="00150964"/>
    <w:rsid w:val="00153C21"/>
    <w:rsid w:val="00157418"/>
    <w:rsid w:val="00161919"/>
    <w:rsid w:val="001656FE"/>
    <w:rsid w:val="001721C7"/>
    <w:rsid w:val="00172FB0"/>
    <w:rsid w:val="001741A0"/>
    <w:rsid w:val="001746F8"/>
    <w:rsid w:val="00175FA0"/>
    <w:rsid w:val="00181975"/>
    <w:rsid w:val="00185616"/>
    <w:rsid w:val="00193BAB"/>
    <w:rsid w:val="00193C19"/>
    <w:rsid w:val="00194CD0"/>
    <w:rsid w:val="00195A07"/>
    <w:rsid w:val="001B2A9A"/>
    <w:rsid w:val="001B49C9"/>
    <w:rsid w:val="001C0A61"/>
    <w:rsid w:val="001C1376"/>
    <w:rsid w:val="001C4F79"/>
    <w:rsid w:val="001F168B"/>
    <w:rsid w:val="001F29F6"/>
    <w:rsid w:val="001F7831"/>
    <w:rsid w:val="00204045"/>
    <w:rsid w:val="00204E33"/>
    <w:rsid w:val="0020712B"/>
    <w:rsid w:val="00211924"/>
    <w:rsid w:val="002122F9"/>
    <w:rsid w:val="00220857"/>
    <w:rsid w:val="0022606D"/>
    <w:rsid w:val="00227075"/>
    <w:rsid w:val="002276E1"/>
    <w:rsid w:val="00231728"/>
    <w:rsid w:val="00232206"/>
    <w:rsid w:val="00245FD2"/>
    <w:rsid w:val="002556AD"/>
    <w:rsid w:val="002610D8"/>
    <w:rsid w:val="0026462D"/>
    <w:rsid w:val="002747EC"/>
    <w:rsid w:val="002770D4"/>
    <w:rsid w:val="002855BF"/>
    <w:rsid w:val="00290BBB"/>
    <w:rsid w:val="00295EB2"/>
    <w:rsid w:val="002A664A"/>
    <w:rsid w:val="002B5E75"/>
    <w:rsid w:val="002B7CFD"/>
    <w:rsid w:val="002C67B8"/>
    <w:rsid w:val="002D4140"/>
    <w:rsid w:val="002D56B6"/>
    <w:rsid w:val="002E1ADD"/>
    <w:rsid w:val="002F0D22"/>
    <w:rsid w:val="002F70E0"/>
    <w:rsid w:val="003011A3"/>
    <w:rsid w:val="003028D7"/>
    <w:rsid w:val="00302ED4"/>
    <w:rsid w:val="00304540"/>
    <w:rsid w:val="00313A0C"/>
    <w:rsid w:val="003140E1"/>
    <w:rsid w:val="003172DC"/>
    <w:rsid w:val="00322F5F"/>
    <w:rsid w:val="00323F45"/>
    <w:rsid w:val="00325AE3"/>
    <w:rsid w:val="00326069"/>
    <w:rsid w:val="00333DBF"/>
    <w:rsid w:val="0034159F"/>
    <w:rsid w:val="00345BB0"/>
    <w:rsid w:val="0035069A"/>
    <w:rsid w:val="0035263E"/>
    <w:rsid w:val="0035462D"/>
    <w:rsid w:val="00361AA0"/>
    <w:rsid w:val="003630E3"/>
    <w:rsid w:val="00364B41"/>
    <w:rsid w:val="003670DA"/>
    <w:rsid w:val="0037098B"/>
    <w:rsid w:val="00383925"/>
    <w:rsid w:val="003960B3"/>
    <w:rsid w:val="003A41EF"/>
    <w:rsid w:val="003B40AD"/>
    <w:rsid w:val="003C4E37"/>
    <w:rsid w:val="003D5E08"/>
    <w:rsid w:val="003E16BE"/>
    <w:rsid w:val="003E3D3B"/>
    <w:rsid w:val="003F257B"/>
    <w:rsid w:val="003F4E28"/>
    <w:rsid w:val="004006E8"/>
    <w:rsid w:val="00401855"/>
    <w:rsid w:val="00405FFA"/>
    <w:rsid w:val="0041047C"/>
    <w:rsid w:val="00411D87"/>
    <w:rsid w:val="00414088"/>
    <w:rsid w:val="0046733B"/>
    <w:rsid w:val="004745D8"/>
    <w:rsid w:val="00476C6C"/>
    <w:rsid w:val="004773EB"/>
    <w:rsid w:val="00477455"/>
    <w:rsid w:val="00482007"/>
    <w:rsid w:val="004828E5"/>
    <w:rsid w:val="00486CA1"/>
    <w:rsid w:val="004A1F7B"/>
    <w:rsid w:val="004C104F"/>
    <w:rsid w:val="004C44D2"/>
    <w:rsid w:val="004D16B2"/>
    <w:rsid w:val="004D2CBB"/>
    <w:rsid w:val="004D3578"/>
    <w:rsid w:val="004D380D"/>
    <w:rsid w:val="004E213A"/>
    <w:rsid w:val="004E60C2"/>
    <w:rsid w:val="004F0A9C"/>
    <w:rsid w:val="004F4778"/>
    <w:rsid w:val="004F7967"/>
    <w:rsid w:val="005022B8"/>
    <w:rsid w:val="00503171"/>
    <w:rsid w:val="00506C28"/>
    <w:rsid w:val="00510FAD"/>
    <w:rsid w:val="0052271D"/>
    <w:rsid w:val="005239B2"/>
    <w:rsid w:val="00531008"/>
    <w:rsid w:val="00531F13"/>
    <w:rsid w:val="00534DA0"/>
    <w:rsid w:val="005425D0"/>
    <w:rsid w:val="00543E6C"/>
    <w:rsid w:val="00543E71"/>
    <w:rsid w:val="0054507B"/>
    <w:rsid w:val="00556222"/>
    <w:rsid w:val="00565087"/>
    <w:rsid w:val="0056573F"/>
    <w:rsid w:val="00570B6F"/>
    <w:rsid w:val="005715BD"/>
    <w:rsid w:val="00571C63"/>
    <w:rsid w:val="00572F0D"/>
    <w:rsid w:val="005A1C12"/>
    <w:rsid w:val="005A246E"/>
    <w:rsid w:val="005A6A03"/>
    <w:rsid w:val="0060564D"/>
    <w:rsid w:val="00611566"/>
    <w:rsid w:val="006163EF"/>
    <w:rsid w:val="006213EF"/>
    <w:rsid w:val="0062152B"/>
    <w:rsid w:val="006430D5"/>
    <w:rsid w:val="00646D99"/>
    <w:rsid w:val="0065070F"/>
    <w:rsid w:val="006567CB"/>
    <w:rsid w:val="00656910"/>
    <w:rsid w:val="006664A2"/>
    <w:rsid w:val="00682DC2"/>
    <w:rsid w:val="006865C2"/>
    <w:rsid w:val="0069266C"/>
    <w:rsid w:val="00693FE8"/>
    <w:rsid w:val="0069600B"/>
    <w:rsid w:val="006B04C1"/>
    <w:rsid w:val="006B1B9E"/>
    <w:rsid w:val="006C39DC"/>
    <w:rsid w:val="006C66D8"/>
    <w:rsid w:val="006D1E24"/>
    <w:rsid w:val="006D781C"/>
    <w:rsid w:val="006E1417"/>
    <w:rsid w:val="006E1A92"/>
    <w:rsid w:val="006E509C"/>
    <w:rsid w:val="006F026E"/>
    <w:rsid w:val="006F6A2C"/>
    <w:rsid w:val="00701421"/>
    <w:rsid w:val="00705A1C"/>
    <w:rsid w:val="00705A34"/>
    <w:rsid w:val="00710201"/>
    <w:rsid w:val="00714522"/>
    <w:rsid w:val="00715818"/>
    <w:rsid w:val="00723B74"/>
    <w:rsid w:val="0072480D"/>
    <w:rsid w:val="007258CD"/>
    <w:rsid w:val="00726D72"/>
    <w:rsid w:val="007315A7"/>
    <w:rsid w:val="007342B5"/>
    <w:rsid w:val="00734A5B"/>
    <w:rsid w:val="0074450F"/>
    <w:rsid w:val="00744E76"/>
    <w:rsid w:val="00746945"/>
    <w:rsid w:val="00747767"/>
    <w:rsid w:val="007516B7"/>
    <w:rsid w:val="00757D40"/>
    <w:rsid w:val="007638D4"/>
    <w:rsid w:val="007767EC"/>
    <w:rsid w:val="00776FAA"/>
    <w:rsid w:val="00781F0F"/>
    <w:rsid w:val="007842B9"/>
    <w:rsid w:val="0078727C"/>
    <w:rsid w:val="00787C8D"/>
    <w:rsid w:val="0079049D"/>
    <w:rsid w:val="00793DC5"/>
    <w:rsid w:val="007A1242"/>
    <w:rsid w:val="007A248D"/>
    <w:rsid w:val="007A337C"/>
    <w:rsid w:val="007B18D8"/>
    <w:rsid w:val="007B4538"/>
    <w:rsid w:val="007C095F"/>
    <w:rsid w:val="007C2DD0"/>
    <w:rsid w:val="007C2F76"/>
    <w:rsid w:val="007C716A"/>
    <w:rsid w:val="007E0E36"/>
    <w:rsid w:val="008020E9"/>
    <w:rsid w:val="008028A4"/>
    <w:rsid w:val="00804B73"/>
    <w:rsid w:val="00813245"/>
    <w:rsid w:val="00831167"/>
    <w:rsid w:val="00845EF6"/>
    <w:rsid w:val="00855488"/>
    <w:rsid w:val="008640A6"/>
    <w:rsid w:val="00864A02"/>
    <w:rsid w:val="0086638C"/>
    <w:rsid w:val="00871C2D"/>
    <w:rsid w:val="008768CA"/>
    <w:rsid w:val="00877EF9"/>
    <w:rsid w:val="00880559"/>
    <w:rsid w:val="00887FC6"/>
    <w:rsid w:val="00897007"/>
    <w:rsid w:val="008A035C"/>
    <w:rsid w:val="008B306A"/>
    <w:rsid w:val="008B47E1"/>
    <w:rsid w:val="008B5306"/>
    <w:rsid w:val="008B5CFC"/>
    <w:rsid w:val="008C3989"/>
    <w:rsid w:val="008C5B31"/>
    <w:rsid w:val="008D2E4D"/>
    <w:rsid w:val="008D41F7"/>
    <w:rsid w:val="008E272F"/>
    <w:rsid w:val="008E4B10"/>
    <w:rsid w:val="008E5F3C"/>
    <w:rsid w:val="008E6F05"/>
    <w:rsid w:val="008F396F"/>
    <w:rsid w:val="008F5492"/>
    <w:rsid w:val="00901BF0"/>
    <w:rsid w:val="0090271F"/>
    <w:rsid w:val="00902DB9"/>
    <w:rsid w:val="00903AB3"/>
    <w:rsid w:val="0090466A"/>
    <w:rsid w:val="00906D13"/>
    <w:rsid w:val="00907071"/>
    <w:rsid w:val="0092239B"/>
    <w:rsid w:val="00922FA7"/>
    <w:rsid w:val="00923362"/>
    <w:rsid w:val="0092543F"/>
    <w:rsid w:val="009330D7"/>
    <w:rsid w:val="00936071"/>
    <w:rsid w:val="00940212"/>
    <w:rsid w:val="00942EC2"/>
    <w:rsid w:val="009433C1"/>
    <w:rsid w:val="009439CA"/>
    <w:rsid w:val="009448D6"/>
    <w:rsid w:val="009457E7"/>
    <w:rsid w:val="00956A00"/>
    <w:rsid w:val="00960CEB"/>
    <w:rsid w:val="00961244"/>
    <w:rsid w:val="00961B32"/>
    <w:rsid w:val="0096411D"/>
    <w:rsid w:val="00970DB3"/>
    <w:rsid w:val="00973C4A"/>
    <w:rsid w:val="00974280"/>
    <w:rsid w:val="00974BB0"/>
    <w:rsid w:val="009759D0"/>
    <w:rsid w:val="00975A83"/>
    <w:rsid w:val="00977139"/>
    <w:rsid w:val="009828C4"/>
    <w:rsid w:val="0098477E"/>
    <w:rsid w:val="0099257A"/>
    <w:rsid w:val="009A0AF3"/>
    <w:rsid w:val="009B07CD"/>
    <w:rsid w:val="009B1AB2"/>
    <w:rsid w:val="009C19E9"/>
    <w:rsid w:val="009C4E39"/>
    <w:rsid w:val="009C64D2"/>
    <w:rsid w:val="009D4D6D"/>
    <w:rsid w:val="009D571B"/>
    <w:rsid w:val="009D74A6"/>
    <w:rsid w:val="009D75EE"/>
    <w:rsid w:val="009E06F7"/>
    <w:rsid w:val="009E1F38"/>
    <w:rsid w:val="009E533C"/>
    <w:rsid w:val="009F27CD"/>
    <w:rsid w:val="009F4A47"/>
    <w:rsid w:val="00A10F02"/>
    <w:rsid w:val="00A167B0"/>
    <w:rsid w:val="00A204CA"/>
    <w:rsid w:val="00A21F5B"/>
    <w:rsid w:val="00A32A56"/>
    <w:rsid w:val="00A43B9A"/>
    <w:rsid w:val="00A47CA0"/>
    <w:rsid w:val="00A5081B"/>
    <w:rsid w:val="00A521C4"/>
    <w:rsid w:val="00A53724"/>
    <w:rsid w:val="00A652D0"/>
    <w:rsid w:val="00A82346"/>
    <w:rsid w:val="00A83A28"/>
    <w:rsid w:val="00A87555"/>
    <w:rsid w:val="00A93544"/>
    <w:rsid w:val="00A9671C"/>
    <w:rsid w:val="00AA1553"/>
    <w:rsid w:val="00AA2EC8"/>
    <w:rsid w:val="00AA325A"/>
    <w:rsid w:val="00AE6FEB"/>
    <w:rsid w:val="00AE7BFB"/>
    <w:rsid w:val="00AF4C2A"/>
    <w:rsid w:val="00AF7A1C"/>
    <w:rsid w:val="00B01FA9"/>
    <w:rsid w:val="00B05962"/>
    <w:rsid w:val="00B110E6"/>
    <w:rsid w:val="00B15449"/>
    <w:rsid w:val="00B27303"/>
    <w:rsid w:val="00B27A02"/>
    <w:rsid w:val="00B473E5"/>
    <w:rsid w:val="00B47FD1"/>
    <w:rsid w:val="00B516BB"/>
    <w:rsid w:val="00B62F57"/>
    <w:rsid w:val="00B66CA9"/>
    <w:rsid w:val="00B764A6"/>
    <w:rsid w:val="00B865EF"/>
    <w:rsid w:val="00B9578F"/>
    <w:rsid w:val="00BB1FE9"/>
    <w:rsid w:val="00BC1C95"/>
    <w:rsid w:val="00BC3555"/>
    <w:rsid w:val="00BD023D"/>
    <w:rsid w:val="00BD130E"/>
    <w:rsid w:val="00BD1D8E"/>
    <w:rsid w:val="00BD2F2E"/>
    <w:rsid w:val="00BE4213"/>
    <w:rsid w:val="00BF1587"/>
    <w:rsid w:val="00BF15A1"/>
    <w:rsid w:val="00C1206D"/>
    <w:rsid w:val="00C12B51"/>
    <w:rsid w:val="00C14B52"/>
    <w:rsid w:val="00C24650"/>
    <w:rsid w:val="00C25465"/>
    <w:rsid w:val="00C272F7"/>
    <w:rsid w:val="00C303DE"/>
    <w:rsid w:val="00C32D0A"/>
    <w:rsid w:val="00C33079"/>
    <w:rsid w:val="00C3505A"/>
    <w:rsid w:val="00C36C0D"/>
    <w:rsid w:val="00C51304"/>
    <w:rsid w:val="00C5478C"/>
    <w:rsid w:val="00C76F73"/>
    <w:rsid w:val="00C83A13"/>
    <w:rsid w:val="00C85AC6"/>
    <w:rsid w:val="00C9068C"/>
    <w:rsid w:val="00C90D26"/>
    <w:rsid w:val="00C92967"/>
    <w:rsid w:val="00C95C60"/>
    <w:rsid w:val="00CA2B52"/>
    <w:rsid w:val="00CA3D0C"/>
    <w:rsid w:val="00CA654B"/>
    <w:rsid w:val="00CA70AE"/>
    <w:rsid w:val="00CB72B8"/>
    <w:rsid w:val="00CD4C7B"/>
    <w:rsid w:val="00CD64D0"/>
    <w:rsid w:val="00CE0342"/>
    <w:rsid w:val="00CF4C0F"/>
    <w:rsid w:val="00CF79F7"/>
    <w:rsid w:val="00CF7B16"/>
    <w:rsid w:val="00D03604"/>
    <w:rsid w:val="00D0393B"/>
    <w:rsid w:val="00D0657B"/>
    <w:rsid w:val="00D13C46"/>
    <w:rsid w:val="00D17614"/>
    <w:rsid w:val="00D204EC"/>
    <w:rsid w:val="00D21C8D"/>
    <w:rsid w:val="00D2495D"/>
    <w:rsid w:val="00D26E9A"/>
    <w:rsid w:val="00D32FF8"/>
    <w:rsid w:val="00D33BE3"/>
    <w:rsid w:val="00D3792D"/>
    <w:rsid w:val="00D410BB"/>
    <w:rsid w:val="00D42493"/>
    <w:rsid w:val="00D5371D"/>
    <w:rsid w:val="00D55E47"/>
    <w:rsid w:val="00D60166"/>
    <w:rsid w:val="00D62E19"/>
    <w:rsid w:val="00D6684F"/>
    <w:rsid w:val="00D67CD1"/>
    <w:rsid w:val="00D738D6"/>
    <w:rsid w:val="00D757EB"/>
    <w:rsid w:val="00D76ED3"/>
    <w:rsid w:val="00D80795"/>
    <w:rsid w:val="00D854BE"/>
    <w:rsid w:val="00D87E00"/>
    <w:rsid w:val="00D9134D"/>
    <w:rsid w:val="00D96D11"/>
    <w:rsid w:val="00DA096C"/>
    <w:rsid w:val="00DA73A7"/>
    <w:rsid w:val="00DA7A03"/>
    <w:rsid w:val="00DB0DB8"/>
    <w:rsid w:val="00DB1818"/>
    <w:rsid w:val="00DB27C8"/>
    <w:rsid w:val="00DB6676"/>
    <w:rsid w:val="00DC2719"/>
    <w:rsid w:val="00DC309B"/>
    <w:rsid w:val="00DC4DA2"/>
    <w:rsid w:val="00DF6582"/>
    <w:rsid w:val="00E103D3"/>
    <w:rsid w:val="00E11A9C"/>
    <w:rsid w:val="00E11D1D"/>
    <w:rsid w:val="00E3459F"/>
    <w:rsid w:val="00E41300"/>
    <w:rsid w:val="00E471CF"/>
    <w:rsid w:val="00E55E28"/>
    <w:rsid w:val="00E62835"/>
    <w:rsid w:val="00E62CB6"/>
    <w:rsid w:val="00E762EF"/>
    <w:rsid w:val="00E77645"/>
    <w:rsid w:val="00E81457"/>
    <w:rsid w:val="00E83697"/>
    <w:rsid w:val="00E96710"/>
    <w:rsid w:val="00EA39ED"/>
    <w:rsid w:val="00EA75CB"/>
    <w:rsid w:val="00EB25E0"/>
    <w:rsid w:val="00EB329D"/>
    <w:rsid w:val="00EC3B14"/>
    <w:rsid w:val="00EC4557"/>
    <w:rsid w:val="00EC4A25"/>
    <w:rsid w:val="00EC6C2B"/>
    <w:rsid w:val="00ED3455"/>
    <w:rsid w:val="00ED4E2A"/>
    <w:rsid w:val="00EE25F4"/>
    <w:rsid w:val="00EF1814"/>
    <w:rsid w:val="00EF5642"/>
    <w:rsid w:val="00F01BB0"/>
    <w:rsid w:val="00F025A2"/>
    <w:rsid w:val="00F07388"/>
    <w:rsid w:val="00F12A89"/>
    <w:rsid w:val="00F17528"/>
    <w:rsid w:val="00F2026E"/>
    <w:rsid w:val="00F216F6"/>
    <w:rsid w:val="00F2210A"/>
    <w:rsid w:val="00F221D9"/>
    <w:rsid w:val="00F329F4"/>
    <w:rsid w:val="00F33077"/>
    <w:rsid w:val="00F35312"/>
    <w:rsid w:val="00F37743"/>
    <w:rsid w:val="00F41544"/>
    <w:rsid w:val="00F52CE4"/>
    <w:rsid w:val="00F54A3D"/>
    <w:rsid w:val="00F54CB0"/>
    <w:rsid w:val="00F60E74"/>
    <w:rsid w:val="00F65334"/>
    <w:rsid w:val="00F653B8"/>
    <w:rsid w:val="00F66F1C"/>
    <w:rsid w:val="00F71B89"/>
    <w:rsid w:val="00F7353C"/>
    <w:rsid w:val="00F74381"/>
    <w:rsid w:val="00F758B6"/>
    <w:rsid w:val="00F76E7E"/>
    <w:rsid w:val="00F76F8F"/>
    <w:rsid w:val="00F86DB0"/>
    <w:rsid w:val="00F923A7"/>
    <w:rsid w:val="00F92C19"/>
    <w:rsid w:val="00F93249"/>
    <w:rsid w:val="00F941DF"/>
    <w:rsid w:val="00FA04AE"/>
    <w:rsid w:val="00FA1266"/>
    <w:rsid w:val="00FA44A7"/>
    <w:rsid w:val="00FB0A0A"/>
    <w:rsid w:val="00FB36FA"/>
    <w:rsid w:val="00FC1192"/>
    <w:rsid w:val="00FC4BFE"/>
    <w:rsid w:val="00FD41C7"/>
    <w:rsid w:val="00FE251B"/>
    <w:rsid w:val="00FE4318"/>
    <w:rsid w:val="00FE5183"/>
    <w:rsid w:val="00FF7976"/>
    <w:rsid w:val="1B058440"/>
    <w:rsid w:val="1B431266"/>
    <w:rsid w:val="3FFA0780"/>
    <w:rsid w:val="58D4AD94"/>
    <w:rsid w:val="6497F9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521C4"/>
    <w:pPr>
      <w:ind w:left="720"/>
      <w:contextualSpacing/>
    </w:pPr>
  </w:style>
  <w:style w:type="table" w:styleId="TableGrid">
    <w:name w:val="Table Grid"/>
    <w:basedOn w:val="TableNormal"/>
    <w:rsid w:val="00113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13A2E"/>
    <w:rPr>
      <w:rFonts w:ascii="Arial" w:eastAsia="MS Mincho" w:hAnsi="Arial" w:cs="Arial"/>
      <w:szCs w:val="24"/>
    </w:rPr>
  </w:style>
  <w:style w:type="paragraph" w:customStyle="1" w:styleId="Doc-text2">
    <w:name w:val="Doc-text2"/>
    <w:basedOn w:val="Normal"/>
    <w:link w:val="Doc-text2Char"/>
    <w:qFormat/>
    <w:rsid w:val="00113A2E"/>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B110E6"/>
    <w:pPr>
      <w:spacing w:after="200"/>
    </w:pPr>
    <w:rPr>
      <w:i/>
      <w:iCs/>
      <w:color w:val="44546A" w:themeColor="text2"/>
      <w:sz w:val="18"/>
      <w:szCs w:val="18"/>
    </w:rPr>
  </w:style>
  <w:style w:type="character" w:styleId="CommentReference">
    <w:name w:val="annotation reference"/>
    <w:basedOn w:val="DefaultParagraphFont"/>
    <w:rsid w:val="00A87555"/>
    <w:rPr>
      <w:sz w:val="16"/>
      <w:szCs w:val="16"/>
    </w:rPr>
  </w:style>
  <w:style w:type="paragraph" w:styleId="CommentText">
    <w:name w:val="annotation text"/>
    <w:basedOn w:val="Normal"/>
    <w:link w:val="CommentTextChar"/>
    <w:rsid w:val="00A87555"/>
  </w:style>
  <w:style w:type="character" w:customStyle="1" w:styleId="CommentTextChar">
    <w:name w:val="Comment Text Char"/>
    <w:basedOn w:val="DefaultParagraphFont"/>
    <w:link w:val="CommentText"/>
    <w:rsid w:val="00A87555"/>
    <w:rPr>
      <w:lang w:eastAsia="en-US"/>
    </w:rPr>
  </w:style>
  <w:style w:type="paragraph" w:styleId="CommentSubject">
    <w:name w:val="annotation subject"/>
    <w:basedOn w:val="CommentText"/>
    <w:next w:val="CommentText"/>
    <w:link w:val="CommentSubjectChar"/>
    <w:rsid w:val="00A87555"/>
    <w:rPr>
      <w:b/>
      <w:bCs/>
    </w:rPr>
  </w:style>
  <w:style w:type="character" w:customStyle="1" w:styleId="CommentSubjectChar">
    <w:name w:val="Comment Subject Char"/>
    <w:basedOn w:val="CommentTextChar"/>
    <w:link w:val="CommentSubject"/>
    <w:rsid w:val="00A875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0894">
      <w:bodyDiv w:val="1"/>
      <w:marLeft w:val="0"/>
      <w:marRight w:val="0"/>
      <w:marTop w:val="0"/>
      <w:marBottom w:val="0"/>
      <w:divBdr>
        <w:top w:val="none" w:sz="0" w:space="0" w:color="auto"/>
        <w:left w:val="none" w:sz="0" w:space="0" w:color="auto"/>
        <w:bottom w:val="none" w:sz="0" w:space="0" w:color="auto"/>
        <w:right w:val="none" w:sz="0" w:space="0" w:color="auto"/>
      </w:divBdr>
    </w:div>
    <w:div w:id="650594092">
      <w:bodyDiv w:val="1"/>
      <w:marLeft w:val="0"/>
      <w:marRight w:val="0"/>
      <w:marTop w:val="0"/>
      <w:marBottom w:val="0"/>
      <w:divBdr>
        <w:top w:val="none" w:sz="0" w:space="0" w:color="auto"/>
        <w:left w:val="none" w:sz="0" w:space="0" w:color="auto"/>
        <w:bottom w:val="none" w:sz="0" w:space="0" w:color="auto"/>
        <w:right w:val="none" w:sz="0" w:space="0" w:color="auto"/>
      </w:divBdr>
      <w:divsChild>
        <w:div w:id="705984065">
          <w:marLeft w:val="360"/>
          <w:marRight w:val="0"/>
          <w:marTop w:val="0"/>
          <w:marBottom w:val="120"/>
          <w:divBdr>
            <w:top w:val="none" w:sz="0" w:space="0" w:color="auto"/>
            <w:left w:val="none" w:sz="0" w:space="0" w:color="auto"/>
            <w:bottom w:val="none" w:sz="0" w:space="0" w:color="auto"/>
            <w:right w:val="none" w:sz="0" w:space="0" w:color="auto"/>
          </w:divBdr>
        </w:div>
        <w:div w:id="1565985529">
          <w:marLeft w:val="720"/>
          <w:marRight w:val="0"/>
          <w:marTop w:val="0"/>
          <w:marBottom w:val="120"/>
          <w:divBdr>
            <w:top w:val="none" w:sz="0" w:space="0" w:color="auto"/>
            <w:left w:val="none" w:sz="0" w:space="0" w:color="auto"/>
            <w:bottom w:val="none" w:sz="0" w:space="0" w:color="auto"/>
            <w:right w:val="none" w:sz="0" w:space="0" w:color="auto"/>
          </w:divBdr>
        </w:div>
        <w:div w:id="2077511783">
          <w:marLeft w:val="360"/>
          <w:marRight w:val="0"/>
          <w:marTop w:val="0"/>
          <w:marBottom w:val="120"/>
          <w:divBdr>
            <w:top w:val="none" w:sz="0" w:space="0" w:color="auto"/>
            <w:left w:val="none" w:sz="0" w:space="0" w:color="auto"/>
            <w:bottom w:val="none" w:sz="0" w:space="0" w:color="auto"/>
            <w:right w:val="none" w:sz="0" w:space="0" w:color="auto"/>
          </w:divBdr>
        </w:div>
        <w:div w:id="1926526166">
          <w:marLeft w:val="720"/>
          <w:marRight w:val="0"/>
          <w:marTop w:val="0"/>
          <w:marBottom w:val="120"/>
          <w:divBdr>
            <w:top w:val="none" w:sz="0" w:space="0" w:color="auto"/>
            <w:left w:val="none" w:sz="0" w:space="0" w:color="auto"/>
            <w:bottom w:val="none" w:sz="0" w:space="0" w:color="auto"/>
            <w:right w:val="none" w:sz="0" w:space="0" w:color="auto"/>
          </w:divBdr>
        </w:div>
        <w:div w:id="259141399">
          <w:marLeft w:val="720"/>
          <w:marRight w:val="0"/>
          <w:marTop w:val="0"/>
          <w:marBottom w:val="120"/>
          <w:divBdr>
            <w:top w:val="none" w:sz="0" w:space="0" w:color="auto"/>
            <w:left w:val="none" w:sz="0" w:space="0" w:color="auto"/>
            <w:bottom w:val="none" w:sz="0" w:space="0" w:color="auto"/>
            <w:right w:val="none" w:sz="0" w:space="0" w:color="auto"/>
          </w:divBdr>
        </w:div>
        <w:div w:id="1338995689">
          <w:marLeft w:val="360"/>
          <w:marRight w:val="0"/>
          <w:marTop w:val="0"/>
          <w:marBottom w:val="120"/>
          <w:divBdr>
            <w:top w:val="none" w:sz="0" w:space="0" w:color="auto"/>
            <w:left w:val="none" w:sz="0" w:space="0" w:color="auto"/>
            <w:bottom w:val="none" w:sz="0" w:space="0" w:color="auto"/>
            <w:right w:val="none" w:sz="0" w:space="0" w:color="auto"/>
          </w:divBdr>
        </w:div>
        <w:div w:id="1425609709">
          <w:marLeft w:val="360"/>
          <w:marRight w:val="0"/>
          <w:marTop w:val="0"/>
          <w:marBottom w:val="120"/>
          <w:divBdr>
            <w:top w:val="none" w:sz="0" w:space="0" w:color="auto"/>
            <w:left w:val="none" w:sz="0" w:space="0" w:color="auto"/>
            <w:bottom w:val="none" w:sz="0" w:space="0" w:color="auto"/>
            <w:right w:val="none" w:sz="0" w:space="0" w:color="auto"/>
          </w:divBdr>
        </w:div>
        <w:div w:id="884098677">
          <w:marLeft w:val="720"/>
          <w:marRight w:val="0"/>
          <w:marTop w:val="0"/>
          <w:marBottom w:val="120"/>
          <w:divBdr>
            <w:top w:val="none" w:sz="0" w:space="0" w:color="auto"/>
            <w:left w:val="none" w:sz="0" w:space="0" w:color="auto"/>
            <w:bottom w:val="none" w:sz="0" w:space="0" w:color="auto"/>
            <w:right w:val="none" w:sz="0" w:space="0" w:color="auto"/>
          </w:divBdr>
        </w:div>
        <w:div w:id="531265225">
          <w:marLeft w:val="720"/>
          <w:marRight w:val="0"/>
          <w:marTop w:val="0"/>
          <w:marBottom w:val="120"/>
          <w:divBdr>
            <w:top w:val="none" w:sz="0" w:space="0" w:color="auto"/>
            <w:left w:val="none" w:sz="0" w:space="0" w:color="auto"/>
            <w:bottom w:val="none" w:sz="0" w:space="0" w:color="auto"/>
            <w:right w:val="none" w:sz="0" w:space="0" w:color="auto"/>
          </w:divBdr>
        </w:div>
      </w:divsChild>
    </w:div>
    <w:div w:id="653602814">
      <w:bodyDiv w:val="1"/>
      <w:marLeft w:val="0"/>
      <w:marRight w:val="0"/>
      <w:marTop w:val="0"/>
      <w:marBottom w:val="0"/>
      <w:divBdr>
        <w:top w:val="none" w:sz="0" w:space="0" w:color="auto"/>
        <w:left w:val="none" w:sz="0" w:space="0" w:color="auto"/>
        <w:bottom w:val="none" w:sz="0" w:space="0" w:color="auto"/>
        <w:right w:val="none" w:sz="0" w:space="0" w:color="auto"/>
      </w:divBdr>
    </w:div>
    <w:div w:id="8759640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4638761">
      <w:bodyDiv w:val="1"/>
      <w:marLeft w:val="0"/>
      <w:marRight w:val="0"/>
      <w:marTop w:val="0"/>
      <w:marBottom w:val="0"/>
      <w:divBdr>
        <w:top w:val="none" w:sz="0" w:space="0" w:color="auto"/>
        <w:left w:val="none" w:sz="0" w:space="0" w:color="auto"/>
        <w:bottom w:val="none" w:sz="0" w:space="0" w:color="auto"/>
        <w:right w:val="none" w:sz="0" w:space="0" w:color="auto"/>
      </w:divBdr>
    </w:div>
    <w:div w:id="1905488417">
      <w:bodyDiv w:val="1"/>
      <w:marLeft w:val="0"/>
      <w:marRight w:val="0"/>
      <w:marTop w:val="0"/>
      <w:marBottom w:val="0"/>
      <w:divBdr>
        <w:top w:val="none" w:sz="0" w:space="0" w:color="auto"/>
        <w:left w:val="none" w:sz="0" w:space="0" w:color="auto"/>
        <w:bottom w:val="none" w:sz="0" w:space="0" w:color="auto"/>
        <w:right w:val="none" w:sz="0" w:space="0" w:color="auto"/>
      </w:divBdr>
    </w:div>
    <w:div w:id="1933078846">
      <w:bodyDiv w:val="1"/>
      <w:marLeft w:val="0"/>
      <w:marRight w:val="0"/>
      <w:marTop w:val="0"/>
      <w:marBottom w:val="0"/>
      <w:divBdr>
        <w:top w:val="none" w:sz="0" w:space="0" w:color="auto"/>
        <w:left w:val="none" w:sz="0" w:space="0" w:color="auto"/>
        <w:bottom w:val="none" w:sz="0" w:space="0" w:color="auto"/>
        <w:right w:val="none" w:sz="0" w:space="0" w:color="auto"/>
      </w:divBdr>
    </w:div>
    <w:div w:id="2100329920">
      <w:bodyDiv w:val="1"/>
      <w:marLeft w:val="0"/>
      <w:marRight w:val="0"/>
      <w:marTop w:val="0"/>
      <w:marBottom w:val="0"/>
      <w:divBdr>
        <w:top w:val="none" w:sz="0" w:space="0" w:color="auto"/>
        <w:left w:val="none" w:sz="0" w:space="0" w:color="auto"/>
        <w:bottom w:val="none" w:sz="0" w:space="0" w:color="auto"/>
        <w:right w:val="none" w:sz="0" w:space="0" w:color="auto"/>
      </w:divBdr>
      <w:divsChild>
        <w:div w:id="82847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5AIRPNAIUNRU-859666464-4837</_dlc_DocId>
    <_dlc_DocIdUrl xmlns="71c5aaf6-e6ce-465b-b873-5148d2a4c105">
      <Url>https://nokia.sharepoint.com/sites/c5g/e2earch/_layouts/15/DocIdRedir.aspx?ID=5AIRPNAIUNRU-859666464-4837</Url>
      <Description>5AIRPNAIUNRU-859666464-4837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6.xml><?xml version="1.0" encoding="utf-8"?>
<ds:datastoreItem xmlns:ds="http://schemas.openxmlformats.org/officeDocument/2006/customXml" ds:itemID="{2529501A-06AA-4F08-87EB-4E1ACD218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1132</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150</cp:revision>
  <dcterms:created xsi:type="dcterms:W3CDTF">2019-03-11T18:19:00Z</dcterms:created>
  <dcterms:modified xsi:type="dcterms:W3CDTF">2019-03-28T15:56:00Z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295ae651-2234-4e71-af86-902d2267cc13</vt:lpwstr>
  </property>
  <property fmtid="{D5CDD505-2E9C-101B-9397-08002B2CF9AE}" pid="4" name="AuthorIds_UIVersion_6144">
    <vt:lpwstr>723</vt:lpwstr>
  </property>
  <property fmtid="{D5CDD505-2E9C-101B-9397-08002B2CF9AE}" pid="5" name="AuthorIds_UIVersion_7680">
    <vt:lpwstr>723</vt:lpwstr>
  </property>
  <property fmtid="{D5CDD505-2E9C-101B-9397-08002B2CF9AE}" pid="6" name="AuthorIds_UIVersion_1536">
    <vt:lpwstr>1900</vt:lpwstr>
  </property>
  <property fmtid="{D5CDD505-2E9C-101B-9397-08002B2CF9AE}" pid="7" name="AuthorIds_UIVersion_7168">
    <vt:lpwstr>723</vt:lpwstr>
  </property>
</Properties>
</file>